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CB211" w14:textId="408B12C1" w:rsidR="007C01BD" w:rsidRPr="000E0C14" w:rsidRDefault="009224E8" w:rsidP="000E0C14">
      <w:pPr>
        <w:spacing w:after="21" w:line="259" w:lineRule="auto"/>
        <w:ind w:left="3279" w:right="0" w:firstLine="0"/>
        <w:jc w:val="center"/>
        <w:rPr>
          <w:rFonts w:asciiTheme="majorHAnsi" w:hAnsiTheme="majorHAnsi"/>
        </w:rPr>
      </w:pPr>
      <w:r w:rsidRPr="000E0C14">
        <w:rPr>
          <w:rFonts w:asciiTheme="majorHAnsi" w:eastAsia="Arial" w:hAnsiTheme="majorHAnsi" w:cs="Arial"/>
        </w:rPr>
        <w:t xml:space="preserve"> </w:t>
      </w:r>
      <w:r w:rsidRPr="000E0C14">
        <w:rPr>
          <w:rFonts w:asciiTheme="majorHAnsi" w:hAnsiTheme="majorHAnsi"/>
        </w:rPr>
        <w:t xml:space="preserve"> </w:t>
      </w:r>
      <w:r w:rsidRPr="000E0C14">
        <w:rPr>
          <w:rFonts w:asciiTheme="majorHAnsi" w:hAnsiTheme="majorHAnsi"/>
        </w:rPr>
        <w:t xml:space="preserve"> </w:t>
      </w:r>
      <w:r w:rsidRPr="000E0C14">
        <w:rPr>
          <w:rFonts w:asciiTheme="majorHAnsi" w:hAnsiTheme="majorHAnsi"/>
        </w:rPr>
        <w:t xml:space="preserve"> </w:t>
      </w:r>
    </w:p>
    <w:p w14:paraId="1C37F2CC" w14:textId="31674F07" w:rsidR="007C01BD" w:rsidRPr="000E0C14" w:rsidRDefault="007C01BD" w:rsidP="000E0C14">
      <w:pPr>
        <w:pStyle w:val="Default"/>
        <w:ind w:left="4956" w:firstLine="708"/>
        <w:jc w:val="right"/>
        <w:rPr>
          <w:rFonts w:asciiTheme="majorHAnsi" w:hAnsiTheme="majorHAnsi"/>
          <w:sz w:val="22"/>
          <w:szCs w:val="22"/>
        </w:rPr>
      </w:pPr>
      <w:r w:rsidRPr="000E0C14">
        <w:rPr>
          <w:rFonts w:asciiTheme="majorHAnsi" w:hAnsiTheme="majorHAnsi"/>
          <w:sz w:val="22"/>
          <w:szCs w:val="22"/>
        </w:rPr>
        <w:t xml:space="preserve">Warszawa </w:t>
      </w:r>
      <w:r w:rsidR="00AD2343" w:rsidRPr="000E0C14">
        <w:rPr>
          <w:rFonts w:asciiTheme="majorHAnsi" w:hAnsiTheme="majorHAnsi"/>
          <w:sz w:val="22"/>
          <w:szCs w:val="22"/>
        </w:rPr>
        <w:t>1</w:t>
      </w:r>
      <w:r w:rsidR="000E0C14">
        <w:rPr>
          <w:rFonts w:asciiTheme="majorHAnsi" w:hAnsiTheme="majorHAnsi"/>
          <w:sz w:val="22"/>
          <w:szCs w:val="22"/>
        </w:rPr>
        <w:t>9</w:t>
      </w:r>
      <w:r w:rsidR="00AD2343" w:rsidRPr="000E0C14">
        <w:rPr>
          <w:rFonts w:asciiTheme="majorHAnsi" w:hAnsiTheme="majorHAnsi"/>
          <w:sz w:val="22"/>
          <w:szCs w:val="22"/>
        </w:rPr>
        <w:t xml:space="preserve"> lipca 2024</w:t>
      </w:r>
    </w:p>
    <w:p w14:paraId="3C597B2C" w14:textId="77777777" w:rsidR="007C01BD" w:rsidRPr="000E0C14" w:rsidRDefault="007C01BD" w:rsidP="007C01BD">
      <w:pPr>
        <w:pStyle w:val="Default"/>
        <w:rPr>
          <w:rFonts w:asciiTheme="majorHAnsi" w:hAnsiTheme="majorHAnsi"/>
          <w:b/>
          <w:bCs/>
          <w:sz w:val="22"/>
          <w:szCs w:val="22"/>
        </w:rPr>
      </w:pPr>
    </w:p>
    <w:p w14:paraId="0A7D970D" w14:textId="77777777" w:rsidR="007C01BD" w:rsidRPr="000E0C14" w:rsidRDefault="007C01BD" w:rsidP="007C01BD">
      <w:pPr>
        <w:pStyle w:val="Default"/>
        <w:rPr>
          <w:rFonts w:asciiTheme="majorHAnsi" w:hAnsiTheme="majorHAnsi"/>
          <w:b/>
          <w:bCs/>
          <w:sz w:val="22"/>
          <w:szCs w:val="22"/>
        </w:rPr>
      </w:pPr>
    </w:p>
    <w:p w14:paraId="296A2D90" w14:textId="7C67CC9D" w:rsidR="007C01BD" w:rsidRPr="000E0C14" w:rsidRDefault="007C01BD" w:rsidP="000E0C14">
      <w:pPr>
        <w:pStyle w:val="Default"/>
        <w:ind w:left="708" w:firstLine="708"/>
        <w:jc w:val="center"/>
        <w:rPr>
          <w:rFonts w:asciiTheme="majorHAnsi" w:hAnsiTheme="majorHAnsi"/>
          <w:b/>
          <w:bCs/>
          <w:sz w:val="22"/>
          <w:szCs w:val="22"/>
        </w:rPr>
      </w:pPr>
      <w:r w:rsidRPr="000E0C14">
        <w:rPr>
          <w:rFonts w:asciiTheme="majorHAnsi" w:hAnsiTheme="majorHAnsi"/>
          <w:b/>
          <w:bCs/>
          <w:sz w:val="22"/>
          <w:szCs w:val="22"/>
        </w:rPr>
        <w:t xml:space="preserve">Ogłoszenie o Zamówieniu nr </w:t>
      </w:r>
      <w:r w:rsidR="00AD2343" w:rsidRPr="000E0C14">
        <w:rPr>
          <w:rFonts w:asciiTheme="majorHAnsi" w:hAnsiTheme="majorHAnsi"/>
          <w:b/>
          <w:bCs/>
          <w:sz w:val="22"/>
          <w:szCs w:val="22"/>
        </w:rPr>
        <w:t>2/2024</w:t>
      </w:r>
      <w:r w:rsidRPr="000E0C14">
        <w:rPr>
          <w:rFonts w:asciiTheme="majorHAnsi" w:hAnsiTheme="majorHAnsi"/>
          <w:b/>
          <w:bCs/>
          <w:sz w:val="22"/>
          <w:szCs w:val="22"/>
        </w:rPr>
        <w:t xml:space="preserve"> z dnia </w:t>
      </w:r>
      <w:r w:rsidR="00AD2343" w:rsidRPr="000E0C14">
        <w:rPr>
          <w:rFonts w:asciiTheme="majorHAnsi" w:hAnsiTheme="majorHAnsi"/>
          <w:b/>
          <w:bCs/>
          <w:sz w:val="22"/>
          <w:szCs w:val="22"/>
        </w:rPr>
        <w:t>1</w:t>
      </w:r>
      <w:r w:rsidR="000E0C14">
        <w:rPr>
          <w:rFonts w:asciiTheme="majorHAnsi" w:hAnsiTheme="majorHAnsi"/>
          <w:b/>
          <w:bCs/>
          <w:sz w:val="22"/>
          <w:szCs w:val="22"/>
        </w:rPr>
        <w:t>9</w:t>
      </w:r>
      <w:r w:rsidR="00AD2343" w:rsidRPr="000E0C14">
        <w:rPr>
          <w:rFonts w:asciiTheme="majorHAnsi" w:hAnsiTheme="majorHAnsi"/>
          <w:b/>
          <w:bCs/>
          <w:sz w:val="22"/>
          <w:szCs w:val="22"/>
        </w:rPr>
        <w:t xml:space="preserve"> lipca </w:t>
      </w:r>
      <w:r w:rsidRPr="000E0C14">
        <w:rPr>
          <w:rFonts w:asciiTheme="majorHAnsi" w:hAnsiTheme="majorHAnsi"/>
          <w:b/>
          <w:bCs/>
          <w:sz w:val="22"/>
          <w:szCs w:val="22"/>
        </w:rPr>
        <w:t xml:space="preserve"> 202</w:t>
      </w:r>
      <w:r w:rsidR="00AD2343" w:rsidRPr="000E0C14">
        <w:rPr>
          <w:rFonts w:asciiTheme="majorHAnsi" w:hAnsiTheme="majorHAnsi"/>
          <w:b/>
          <w:bCs/>
          <w:sz w:val="22"/>
          <w:szCs w:val="22"/>
        </w:rPr>
        <w:t>4</w:t>
      </w:r>
      <w:r w:rsidRPr="000E0C14">
        <w:rPr>
          <w:rFonts w:asciiTheme="majorHAnsi" w:hAnsiTheme="majorHAnsi"/>
          <w:b/>
          <w:bCs/>
          <w:sz w:val="22"/>
          <w:szCs w:val="22"/>
        </w:rPr>
        <w:t>r.</w:t>
      </w:r>
    </w:p>
    <w:p w14:paraId="3D6E6D2E" w14:textId="77777777" w:rsidR="007C01BD" w:rsidRPr="000E0C14" w:rsidRDefault="007C01BD" w:rsidP="007C01BD">
      <w:pPr>
        <w:pStyle w:val="Default"/>
        <w:rPr>
          <w:rFonts w:asciiTheme="majorHAnsi" w:hAnsiTheme="majorHAnsi"/>
          <w:b/>
          <w:bCs/>
          <w:sz w:val="22"/>
          <w:szCs w:val="22"/>
        </w:rPr>
      </w:pPr>
    </w:p>
    <w:p w14:paraId="7144B535" w14:textId="77777777" w:rsidR="007C01BD" w:rsidRPr="000E0C14" w:rsidRDefault="007C01BD" w:rsidP="007C01BD">
      <w:pPr>
        <w:pStyle w:val="Default"/>
        <w:rPr>
          <w:rFonts w:asciiTheme="majorHAnsi" w:hAnsiTheme="majorHAnsi"/>
          <w:sz w:val="22"/>
          <w:szCs w:val="22"/>
        </w:rPr>
      </w:pPr>
    </w:p>
    <w:p w14:paraId="6962C2A7" w14:textId="77777777" w:rsidR="007C01BD" w:rsidRPr="000E0C14" w:rsidRDefault="007C01BD" w:rsidP="007C01BD">
      <w:pPr>
        <w:pStyle w:val="Default"/>
        <w:rPr>
          <w:rFonts w:asciiTheme="majorHAnsi" w:hAnsiTheme="majorHAnsi"/>
          <w:sz w:val="22"/>
          <w:szCs w:val="22"/>
        </w:rPr>
      </w:pPr>
    </w:p>
    <w:p w14:paraId="0CD27C9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 Dane Zamawiającego </w:t>
      </w:r>
    </w:p>
    <w:p w14:paraId="0202E40F" w14:textId="77777777" w:rsidR="007C01BD" w:rsidRPr="000E0C14" w:rsidRDefault="007C01BD" w:rsidP="007C01BD">
      <w:pPr>
        <w:pStyle w:val="Default"/>
        <w:rPr>
          <w:rFonts w:asciiTheme="majorHAnsi" w:hAnsiTheme="majorHAnsi"/>
          <w:sz w:val="22"/>
          <w:szCs w:val="22"/>
        </w:rPr>
      </w:pPr>
    </w:p>
    <w:p w14:paraId="43F3CB32"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Pełna nazwa Przedsiębiorcy: ALCID Sp. z o.o. </w:t>
      </w:r>
    </w:p>
    <w:p w14:paraId="7AC71C66"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Siedziba i adres Przedsiębiorcy: ul. Wronia 45 lok. U2, 00-870 Warszawa </w:t>
      </w:r>
    </w:p>
    <w:p w14:paraId="439960B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KRS: 0000608992 </w:t>
      </w:r>
    </w:p>
    <w:p w14:paraId="6E209A2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REGON: 364005403 </w:t>
      </w:r>
    </w:p>
    <w:p w14:paraId="73C6E18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NIP: 5272764145 </w:t>
      </w:r>
    </w:p>
    <w:p w14:paraId="2FC6A83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Strona www: http://www.alcid.pl </w:t>
      </w:r>
    </w:p>
    <w:p w14:paraId="733064C0" w14:textId="77777777" w:rsidR="007C01BD" w:rsidRPr="000E0C14" w:rsidRDefault="007C01BD" w:rsidP="007C01BD">
      <w:pPr>
        <w:pStyle w:val="Default"/>
        <w:rPr>
          <w:rFonts w:asciiTheme="majorHAnsi" w:hAnsiTheme="majorHAnsi"/>
          <w:sz w:val="22"/>
          <w:szCs w:val="22"/>
        </w:rPr>
      </w:pPr>
    </w:p>
    <w:p w14:paraId="229615FC"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 Tytuł zamówienia </w:t>
      </w:r>
    </w:p>
    <w:p w14:paraId="72D61E50" w14:textId="77777777" w:rsidR="007C01BD" w:rsidRPr="000E0C14" w:rsidRDefault="007C01BD" w:rsidP="007C01BD">
      <w:pPr>
        <w:pStyle w:val="Default"/>
        <w:rPr>
          <w:rFonts w:asciiTheme="majorHAnsi" w:hAnsiTheme="majorHAnsi"/>
          <w:sz w:val="22"/>
          <w:szCs w:val="22"/>
        </w:rPr>
      </w:pPr>
    </w:p>
    <w:p w14:paraId="1B55E4F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Zapytanie ofertowe dotyczące zakupu bazy danych obrazów zeskanowanych preparatów histopatologicznychna potrzeby projektu nr INFOSTRATEG-I/0041/2021 „Opracowanie narzędzia bioinformatycznego automatyzującego diagnozę raka piersi” </w:t>
      </w:r>
    </w:p>
    <w:p w14:paraId="493E968D" w14:textId="77777777" w:rsidR="007C01BD" w:rsidRPr="000E0C14" w:rsidRDefault="007C01BD" w:rsidP="007C01BD">
      <w:pPr>
        <w:pStyle w:val="Default"/>
        <w:rPr>
          <w:rFonts w:asciiTheme="majorHAnsi" w:hAnsiTheme="majorHAnsi"/>
          <w:sz w:val="22"/>
          <w:szCs w:val="22"/>
        </w:rPr>
      </w:pPr>
    </w:p>
    <w:p w14:paraId="0122747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III. Termin składania ofert </w:t>
      </w:r>
    </w:p>
    <w:p w14:paraId="21DBD460" w14:textId="77777777" w:rsidR="007C01BD" w:rsidRPr="000E0C14" w:rsidRDefault="007C01BD" w:rsidP="007C01BD">
      <w:pPr>
        <w:pStyle w:val="Default"/>
        <w:rPr>
          <w:rFonts w:asciiTheme="majorHAnsi" w:hAnsiTheme="majorHAnsi"/>
          <w:sz w:val="22"/>
          <w:szCs w:val="22"/>
        </w:rPr>
      </w:pPr>
    </w:p>
    <w:p w14:paraId="096F2F1C" w14:textId="3159D13E"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Do dnia </w:t>
      </w:r>
      <w:r w:rsidR="00AD2343" w:rsidRPr="000E0C14">
        <w:rPr>
          <w:rFonts w:asciiTheme="majorHAnsi" w:hAnsiTheme="majorHAnsi"/>
          <w:sz w:val="22"/>
          <w:szCs w:val="22"/>
        </w:rPr>
        <w:t>1</w:t>
      </w:r>
      <w:r w:rsidR="00FB7D0F">
        <w:rPr>
          <w:rFonts w:asciiTheme="majorHAnsi" w:hAnsiTheme="majorHAnsi"/>
          <w:sz w:val="22"/>
          <w:szCs w:val="22"/>
        </w:rPr>
        <w:t xml:space="preserve">9 </w:t>
      </w:r>
      <w:r w:rsidR="00AD2343" w:rsidRPr="000E0C14">
        <w:rPr>
          <w:rFonts w:asciiTheme="majorHAnsi" w:hAnsiTheme="majorHAnsi"/>
          <w:sz w:val="22"/>
          <w:szCs w:val="22"/>
        </w:rPr>
        <w:t xml:space="preserve">sierpnia 2024 </w:t>
      </w:r>
      <w:r w:rsidRPr="000E0C14">
        <w:rPr>
          <w:rFonts w:asciiTheme="majorHAnsi" w:hAnsiTheme="majorHAnsi"/>
          <w:sz w:val="22"/>
          <w:szCs w:val="22"/>
        </w:rPr>
        <w:t xml:space="preserve">r. do godziny </w:t>
      </w:r>
      <w:r w:rsidR="00AD2343" w:rsidRPr="000E0C14">
        <w:rPr>
          <w:rFonts w:asciiTheme="majorHAnsi" w:hAnsiTheme="majorHAnsi"/>
          <w:sz w:val="22"/>
          <w:szCs w:val="22"/>
        </w:rPr>
        <w:t>16:00</w:t>
      </w:r>
    </w:p>
    <w:p w14:paraId="096F080D" w14:textId="77777777" w:rsidR="007C01BD" w:rsidRPr="000E0C14" w:rsidRDefault="007C01BD" w:rsidP="007C01BD">
      <w:pPr>
        <w:pStyle w:val="Default"/>
        <w:rPr>
          <w:rFonts w:asciiTheme="majorHAnsi" w:hAnsiTheme="majorHAnsi"/>
          <w:sz w:val="22"/>
          <w:szCs w:val="22"/>
        </w:rPr>
      </w:pPr>
    </w:p>
    <w:p w14:paraId="03947F6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IV. Warunki zmiany umowy </w:t>
      </w:r>
    </w:p>
    <w:p w14:paraId="72E855BD" w14:textId="77777777" w:rsidR="007C01BD" w:rsidRPr="000E0C14" w:rsidRDefault="007C01BD" w:rsidP="007C01BD">
      <w:pPr>
        <w:pStyle w:val="Default"/>
        <w:rPr>
          <w:rFonts w:asciiTheme="majorHAnsi" w:hAnsiTheme="majorHAnsi"/>
          <w:sz w:val="22"/>
          <w:szCs w:val="22"/>
        </w:rPr>
      </w:pPr>
    </w:p>
    <w:p w14:paraId="562E2883" w14:textId="77777777"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Do oceny będą brane pod uwagę tylko oferty spełniające wymagania określone w punkcie "Przedmiot zamówienia" oraz "Warunki". Zamawiający ma prawo odrzucenia oferty, jeśli oferta jest niekompletna lub niezgodna z zamówieniem. </w:t>
      </w:r>
    </w:p>
    <w:p w14:paraId="43D4FA96" w14:textId="77777777"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Zamawiający dopuszcza możliwość wprowadzenia zmian w zakresie warunków realizacji zamówienia, zarówno na etapie podpisywania jak i realizacji umowy z Oferentem (na podstawie stosownych aneksów do umowy) w zakresie: terminów realizacji poszczególnych etapów prac oraz terminu realizacji przedmiotu umowy, w przypadku kiedy taka zmiana będzie wynikać z przebiegu projektu lub w przypadku wystąpienia siły wyższej lub innych okoliczności niezależnych od Zamawiającego; wszelkich zmian związanych z wystąpieniem okoliczności niemożliwych do przewidzenia w chwili zawarcia umowy, a które mogą wpłynąć zarówno na sposób, jak i termin realizacji zadań w ramach projektu; wystąpienia oczywistych omyłek pisarskich i rachunkowych w treści umowy. </w:t>
      </w:r>
    </w:p>
    <w:p w14:paraId="5C9E33E4" w14:textId="77777777"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Umowa może zostać rozwiązana przez każdą ze Stron bez podania powodu z zachowaniem jednego – miesięcznego okresu wypowiedzenia. Rozwiązanie Umowy wymaga zachowania formy pisemnej pod rygorem nieważności. </w:t>
      </w:r>
    </w:p>
    <w:p w14:paraId="3C39A525" w14:textId="215C66EA"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Zamawiającemu przysługuje prawo rozwiązania Umowy z </w:t>
      </w:r>
      <w:r w:rsidR="00DB4D1E" w:rsidRPr="000E0C14">
        <w:rPr>
          <w:rFonts w:asciiTheme="majorHAnsi" w:hAnsiTheme="majorHAnsi"/>
          <w:sz w:val="22"/>
          <w:szCs w:val="22"/>
        </w:rPr>
        <w:t>dwutygodniowym</w:t>
      </w:r>
      <w:r w:rsidRPr="000E0C14">
        <w:rPr>
          <w:rFonts w:asciiTheme="majorHAnsi" w:hAnsiTheme="majorHAnsi"/>
          <w:sz w:val="22"/>
          <w:szCs w:val="22"/>
        </w:rPr>
        <w:t xml:space="preserve"> okresem wypowiedzenia, w przypadku gdy Wykonawca narusza postanowienia Umowy lub nie wywiązuje się z postanowień objętych Umową. </w:t>
      </w:r>
    </w:p>
    <w:p w14:paraId="009C3907" w14:textId="77777777" w:rsidR="007C01BD" w:rsidRPr="000E0C14" w:rsidRDefault="007C01BD" w:rsidP="000E0C14">
      <w:pPr>
        <w:pStyle w:val="Default"/>
        <w:jc w:val="both"/>
        <w:rPr>
          <w:rFonts w:asciiTheme="majorHAnsi" w:hAnsiTheme="majorHAnsi"/>
          <w:sz w:val="22"/>
          <w:szCs w:val="22"/>
        </w:rPr>
      </w:pPr>
    </w:p>
    <w:p w14:paraId="518F0F63" w14:textId="77777777" w:rsidR="007C01BD" w:rsidRPr="000E0C14" w:rsidRDefault="007C01BD" w:rsidP="007C01BD">
      <w:pPr>
        <w:pStyle w:val="Default"/>
        <w:rPr>
          <w:rFonts w:asciiTheme="majorHAnsi" w:hAnsiTheme="majorHAnsi"/>
          <w:sz w:val="22"/>
          <w:szCs w:val="22"/>
        </w:rPr>
      </w:pPr>
    </w:p>
    <w:p w14:paraId="0A8144D3" w14:textId="77777777" w:rsidR="007C01BD" w:rsidRPr="000E0C14" w:rsidRDefault="007C01BD" w:rsidP="007C01BD">
      <w:pPr>
        <w:pStyle w:val="Default"/>
        <w:rPr>
          <w:rFonts w:asciiTheme="majorHAnsi" w:hAnsiTheme="majorHAnsi"/>
          <w:sz w:val="22"/>
          <w:szCs w:val="22"/>
        </w:rPr>
      </w:pPr>
    </w:p>
    <w:p w14:paraId="1C3A17F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 Wymagane załączniki </w:t>
      </w:r>
    </w:p>
    <w:p w14:paraId="7BB612E1" w14:textId="77777777" w:rsidR="007C01BD" w:rsidRPr="000E0C14" w:rsidRDefault="007C01BD" w:rsidP="007C01BD">
      <w:pPr>
        <w:pStyle w:val="Default"/>
        <w:rPr>
          <w:rFonts w:asciiTheme="majorHAnsi" w:hAnsiTheme="majorHAnsi"/>
          <w:sz w:val="22"/>
          <w:szCs w:val="22"/>
        </w:rPr>
      </w:pPr>
    </w:p>
    <w:p w14:paraId="12FF2BC4" w14:textId="1C033CA3"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1</w:t>
      </w:r>
      <w:r w:rsidR="00DB4D1E" w:rsidRPr="000E0C14">
        <w:rPr>
          <w:rFonts w:asciiTheme="majorHAnsi" w:hAnsiTheme="majorHAnsi"/>
          <w:sz w:val="22"/>
          <w:szCs w:val="22"/>
        </w:rPr>
        <w:t>:</w:t>
      </w:r>
      <w:r w:rsidRPr="000E0C14">
        <w:rPr>
          <w:rFonts w:asciiTheme="majorHAnsi" w:hAnsiTheme="majorHAnsi"/>
          <w:sz w:val="22"/>
          <w:szCs w:val="22"/>
        </w:rPr>
        <w:t xml:space="preserve"> Oferta z oświadczeniem </w:t>
      </w:r>
    </w:p>
    <w:p w14:paraId="623EB294" w14:textId="76766100"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2:</w:t>
      </w:r>
      <w:r w:rsidR="00AD2343" w:rsidRPr="000E0C14">
        <w:rPr>
          <w:rFonts w:asciiTheme="majorHAnsi" w:hAnsiTheme="majorHAnsi"/>
          <w:sz w:val="22"/>
          <w:szCs w:val="22"/>
        </w:rPr>
        <w:t xml:space="preserve"> </w:t>
      </w:r>
      <w:r w:rsidRPr="000E0C14">
        <w:rPr>
          <w:rFonts w:asciiTheme="majorHAnsi" w:hAnsiTheme="majorHAnsi"/>
          <w:sz w:val="22"/>
          <w:szCs w:val="22"/>
        </w:rPr>
        <w:t xml:space="preserve">Oświadczenie oferenta o braku powiązań kapitałowych lub osobowych z zamawiającym </w:t>
      </w:r>
    </w:p>
    <w:p w14:paraId="6BF8B2B6" w14:textId="78915E92" w:rsidR="00FB7D0F" w:rsidRPr="000E0C14" w:rsidRDefault="00FB7D0F" w:rsidP="00FB7D0F">
      <w:pPr>
        <w:pStyle w:val="Default"/>
        <w:rPr>
          <w:rFonts w:asciiTheme="majorHAnsi" w:hAnsiTheme="majorHAnsi"/>
          <w:sz w:val="22"/>
          <w:szCs w:val="22"/>
        </w:rPr>
      </w:pP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p>
    <w:p w14:paraId="66EEFFBE" w14:textId="77777777" w:rsidR="007C01BD" w:rsidRPr="000E0C14" w:rsidRDefault="007C01BD" w:rsidP="007C01BD">
      <w:pPr>
        <w:pStyle w:val="Default"/>
        <w:rPr>
          <w:rFonts w:asciiTheme="majorHAnsi" w:hAnsiTheme="majorHAnsi"/>
          <w:sz w:val="22"/>
          <w:szCs w:val="22"/>
        </w:rPr>
      </w:pPr>
    </w:p>
    <w:p w14:paraId="645A7B2D" w14:textId="77777777" w:rsidR="007C01BD" w:rsidRPr="000E0C14" w:rsidRDefault="007C01BD" w:rsidP="007C01BD">
      <w:pPr>
        <w:pStyle w:val="Default"/>
        <w:rPr>
          <w:rFonts w:asciiTheme="majorHAnsi" w:hAnsiTheme="majorHAnsi"/>
          <w:sz w:val="22"/>
          <w:szCs w:val="22"/>
        </w:rPr>
      </w:pPr>
    </w:p>
    <w:p w14:paraId="7E34666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 Osoby uprawnione do porozumiewania się z Wykonawcami </w:t>
      </w:r>
    </w:p>
    <w:p w14:paraId="3B4A782E" w14:textId="77777777" w:rsidR="007C01BD" w:rsidRPr="000E0C14" w:rsidRDefault="007C01BD" w:rsidP="007C01BD">
      <w:pPr>
        <w:pStyle w:val="Default"/>
        <w:rPr>
          <w:rFonts w:asciiTheme="majorHAnsi" w:hAnsiTheme="majorHAnsi"/>
          <w:sz w:val="22"/>
          <w:szCs w:val="22"/>
        </w:rPr>
      </w:pPr>
    </w:p>
    <w:p w14:paraId="32F15E0B"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Artur Olszewski </w:t>
      </w:r>
    </w:p>
    <w:p w14:paraId="70B1A3F6"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Tel. 601 368 421 </w:t>
      </w:r>
    </w:p>
    <w:p w14:paraId="69EBF7A5" w14:textId="77777777" w:rsidR="007C01BD" w:rsidRPr="000E0C14" w:rsidRDefault="007C01BD" w:rsidP="007C01BD">
      <w:pPr>
        <w:pStyle w:val="Default"/>
        <w:rPr>
          <w:rFonts w:asciiTheme="majorHAnsi" w:hAnsiTheme="majorHAnsi"/>
          <w:sz w:val="22"/>
          <w:szCs w:val="22"/>
        </w:rPr>
      </w:pPr>
    </w:p>
    <w:p w14:paraId="1C8868B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 Informacja o projekcie </w:t>
      </w:r>
    </w:p>
    <w:p w14:paraId="3825B395" w14:textId="77777777" w:rsidR="007C01BD" w:rsidRPr="000E0C14" w:rsidRDefault="007C01BD" w:rsidP="007C01BD">
      <w:pPr>
        <w:pStyle w:val="Default"/>
        <w:rPr>
          <w:rFonts w:asciiTheme="majorHAnsi" w:hAnsiTheme="majorHAnsi"/>
          <w:sz w:val="22"/>
          <w:szCs w:val="22"/>
        </w:rPr>
      </w:pPr>
    </w:p>
    <w:p w14:paraId="19672E1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Zapytanie ofertowe dotyczy Projektu pt. „Opracowanie narzędzia bioinformatycznego automatyzującego diagnozę raka piersi” (dalej: Projekt) na podstawie umowy nr INFOSTRATEG-I/0041/2021-00 z dnia 2021-10-27. </w:t>
      </w:r>
    </w:p>
    <w:p w14:paraId="265F6BAA" w14:textId="77777777" w:rsidR="007C01BD" w:rsidRPr="000E0C14" w:rsidRDefault="007C01BD" w:rsidP="007C01BD">
      <w:pPr>
        <w:pStyle w:val="Default"/>
        <w:rPr>
          <w:rFonts w:asciiTheme="majorHAnsi" w:hAnsiTheme="majorHAnsi"/>
          <w:sz w:val="22"/>
          <w:szCs w:val="22"/>
        </w:rPr>
      </w:pPr>
    </w:p>
    <w:p w14:paraId="35B22DA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VIII. Tryb postępowania </w:t>
      </w:r>
    </w:p>
    <w:p w14:paraId="0F8E31CB" w14:textId="77777777" w:rsidR="007C01BD" w:rsidRPr="000E0C14" w:rsidRDefault="007C01BD" w:rsidP="007C01BD">
      <w:pPr>
        <w:pStyle w:val="Default"/>
        <w:rPr>
          <w:rFonts w:asciiTheme="majorHAnsi" w:hAnsiTheme="majorHAnsi"/>
          <w:sz w:val="22"/>
          <w:szCs w:val="22"/>
        </w:rPr>
      </w:pPr>
    </w:p>
    <w:p w14:paraId="5D18EF38" w14:textId="1CE86F51"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10 ust. 6 umowy o dofinansowanie Projektu: Opracowanie narzędzia bioinformatycznego automatyzującego diagnozę raka piersi wybranego w ramach konkursu INFOSTRATEG I Program Strategiczny Program Badań Naukowych i Prac Rozwojowych „Zaawansowane technologie informacyjne, telekomunikacyjne i mechatroniczne</w:t>
      </w:r>
      <w:r w:rsidR="00DB4D1E" w:rsidRPr="000E0C14">
        <w:rPr>
          <w:rFonts w:asciiTheme="majorHAnsi" w:hAnsiTheme="majorHAnsi"/>
          <w:sz w:val="22"/>
          <w:szCs w:val="22"/>
        </w:rPr>
        <w:t>”, podpisaną</w:t>
      </w:r>
      <w:r w:rsidRPr="000E0C14">
        <w:rPr>
          <w:rFonts w:asciiTheme="majorHAnsi" w:hAnsiTheme="majorHAnsi"/>
          <w:sz w:val="22"/>
          <w:szCs w:val="22"/>
        </w:rPr>
        <w:t xml:space="preserve"> w dniu 2021-10-27. </w:t>
      </w:r>
    </w:p>
    <w:p w14:paraId="209E1335" w14:textId="77777777" w:rsidR="007C01BD" w:rsidRPr="000E0C14" w:rsidRDefault="007C01BD" w:rsidP="007C01BD">
      <w:pPr>
        <w:pStyle w:val="Default"/>
        <w:rPr>
          <w:rFonts w:asciiTheme="majorHAnsi" w:hAnsiTheme="majorHAnsi"/>
          <w:sz w:val="22"/>
          <w:szCs w:val="22"/>
        </w:rPr>
      </w:pPr>
    </w:p>
    <w:p w14:paraId="6B53A64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IX. Opis i cel zamówienia </w:t>
      </w:r>
    </w:p>
    <w:p w14:paraId="031DE8D4" w14:textId="77777777" w:rsidR="007C01BD" w:rsidRPr="000E0C14" w:rsidRDefault="007C01BD" w:rsidP="007C01BD">
      <w:pPr>
        <w:pStyle w:val="Default"/>
        <w:rPr>
          <w:rFonts w:asciiTheme="majorHAnsi" w:hAnsiTheme="majorHAnsi"/>
          <w:sz w:val="22"/>
          <w:szCs w:val="22"/>
        </w:rPr>
      </w:pPr>
    </w:p>
    <w:p w14:paraId="2D79BEFF" w14:textId="6983A95C"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Realizacja części zadań merytorycznych wynikających z umowy o dofinansowanie projektu. </w:t>
      </w:r>
    </w:p>
    <w:p w14:paraId="32A0F609" w14:textId="77777777" w:rsidR="007C01BD" w:rsidRPr="000E0C14" w:rsidRDefault="007C01BD" w:rsidP="007C01BD">
      <w:pPr>
        <w:pStyle w:val="Default"/>
        <w:rPr>
          <w:rFonts w:asciiTheme="majorHAnsi" w:hAnsiTheme="majorHAnsi"/>
          <w:sz w:val="22"/>
          <w:szCs w:val="22"/>
        </w:rPr>
      </w:pPr>
    </w:p>
    <w:p w14:paraId="640B86F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 Przedmiot zamówienia </w:t>
      </w:r>
    </w:p>
    <w:p w14:paraId="2946A24E" w14:textId="77777777" w:rsidR="007C01BD" w:rsidRPr="000E0C14" w:rsidRDefault="007C01BD" w:rsidP="007C01BD">
      <w:pPr>
        <w:pStyle w:val="Default"/>
        <w:rPr>
          <w:rFonts w:asciiTheme="majorHAnsi" w:hAnsiTheme="majorHAnsi"/>
          <w:sz w:val="22"/>
          <w:szCs w:val="22"/>
        </w:rPr>
      </w:pPr>
    </w:p>
    <w:p w14:paraId="15CD509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Przedmiotem zamówienia jest baza danych obrazów zeskanowanych preparatów histopatologicznych w ramach realizacji części prac projektu „Opracowanie narzędzia bioinformatycznego automatyzującego diagnozę raka piersi” ramach konkursu INFOSTRATEG I Program Strategiczny Program Badań Naukowych i Prac Rozwojowych „Zaawansowane technologie informacyjne, telekomunikacyjne i mechatroniczne” Działając zgodnie z zasadą uczciwej konkurencji i równego traktowania wykonawców, ALCID Sp. z o.o. ogłasza postępowanie w trybie zapytania ofertowego celem wyłonienia dostawcy bazy obrazów zeskanowanych preparatów histopatologicznych. Baza danych powinna być dostarczona na dyskach twardych i obejmować szeroki zakres chorób notoworowych i nienowotworowych piersi. </w:t>
      </w:r>
    </w:p>
    <w:p w14:paraId="009AA5C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Baza danych ma być zeskanowana skanerem (typu Hammamatsu lub równoważny, 3Dhistech lub równoważny, Roche lub równoważnych) w formacie obrazu zeskanowanego obiektywem min. 5x. Skany jednowarstowe przy standardowych i zmiennych ustawieniach skanera </w:t>
      </w:r>
    </w:p>
    <w:p w14:paraId="47D677BE" w14:textId="06123F6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Powinna zawierać </w:t>
      </w:r>
      <w:r w:rsidR="00AD2343" w:rsidRPr="000E0C14">
        <w:rPr>
          <w:rFonts w:asciiTheme="majorHAnsi" w:hAnsiTheme="majorHAnsi"/>
          <w:sz w:val="22"/>
          <w:szCs w:val="22"/>
        </w:rPr>
        <w:t>1</w:t>
      </w:r>
      <w:r w:rsidRPr="000E0C14">
        <w:rPr>
          <w:rFonts w:asciiTheme="majorHAnsi" w:hAnsiTheme="majorHAnsi"/>
          <w:sz w:val="22"/>
          <w:szCs w:val="22"/>
        </w:rPr>
        <w:t xml:space="preserve">0 000 </w:t>
      </w:r>
      <w:r w:rsidR="00AD2343" w:rsidRPr="000E0C14">
        <w:rPr>
          <w:rFonts w:asciiTheme="majorHAnsi" w:hAnsiTheme="majorHAnsi"/>
          <w:sz w:val="22"/>
          <w:szCs w:val="22"/>
        </w:rPr>
        <w:t xml:space="preserve">cyfrowych </w:t>
      </w:r>
      <w:r w:rsidRPr="000E0C14">
        <w:rPr>
          <w:rFonts w:asciiTheme="majorHAnsi" w:hAnsiTheme="majorHAnsi"/>
          <w:sz w:val="22"/>
          <w:szCs w:val="22"/>
        </w:rPr>
        <w:t xml:space="preserve">obrazów </w:t>
      </w:r>
      <w:r w:rsidR="00AD2343" w:rsidRPr="000E0C14">
        <w:rPr>
          <w:rFonts w:asciiTheme="majorHAnsi" w:hAnsiTheme="majorHAnsi"/>
          <w:sz w:val="22"/>
          <w:szCs w:val="22"/>
        </w:rPr>
        <w:t xml:space="preserve">pojedynczych preparatów histopatologicznych </w:t>
      </w:r>
      <w:r w:rsidRPr="000E0C14">
        <w:rPr>
          <w:rFonts w:asciiTheme="majorHAnsi" w:hAnsiTheme="majorHAnsi"/>
          <w:sz w:val="22"/>
          <w:szCs w:val="22"/>
        </w:rPr>
        <w:t>piersi obejmujące obrazy normalne, zmiany chorobowe nie nowotworowe oraz zmiany nowotworowe. Obrazy te powinny obejmować zmian</w:t>
      </w:r>
      <w:r w:rsidR="00AD2343" w:rsidRPr="000E0C14">
        <w:rPr>
          <w:rFonts w:asciiTheme="majorHAnsi" w:hAnsiTheme="majorHAnsi"/>
          <w:sz w:val="22"/>
          <w:szCs w:val="22"/>
        </w:rPr>
        <w:t>y</w:t>
      </w:r>
      <w:r w:rsidRPr="000E0C14">
        <w:rPr>
          <w:rFonts w:asciiTheme="majorHAnsi" w:hAnsiTheme="majorHAnsi"/>
          <w:sz w:val="22"/>
          <w:szCs w:val="22"/>
        </w:rPr>
        <w:t xml:space="preserve"> nowotworowy</w:t>
      </w:r>
      <w:r w:rsidR="00AD2343" w:rsidRPr="000E0C14">
        <w:rPr>
          <w:rFonts w:asciiTheme="majorHAnsi" w:hAnsiTheme="majorHAnsi"/>
          <w:sz w:val="22"/>
          <w:szCs w:val="22"/>
        </w:rPr>
        <w:t>e</w:t>
      </w:r>
      <w:r w:rsidRPr="000E0C14">
        <w:rPr>
          <w:rFonts w:asciiTheme="majorHAnsi" w:hAnsiTheme="majorHAnsi"/>
          <w:sz w:val="22"/>
          <w:szCs w:val="22"/>
        </w:rPr>
        <w:t xml:space="preserve">. Preparaty te powinny obejmować barwienie hmatoksylina/eosyna oraz barwienia immunohistochemiczne dla czynników prognostycznych ER, PR, HER2, ki67 lub równoważnych. </w:t>
      </w:r>
    </w:p>
    <w:p w14:paraId="09BC939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Lista chorób powinna obejmować: </w:t>
      </w:r>
    </w:p>
    <w:p w14:paraId="2275AA9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Zapalne: ostre zapalenie sutka / ropień amyloidowy, martwica tkanki tłuszczowej, reakcja na ciało obce, idiopatyczne ziarniniakowe zapalenie sutka limfocytowe / cukrzycowe zapalenie sutka, wyciek silikonu / limfadenopatia SMOLD </w:t>
      </w:r>
    </w:p>
    <w:p w14:paraId="171E544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Zakaźne: torbielowate neutrofilowe ziarniniakowe zapalenie sutka, </w:t>
      </w:r>
    </w:p>
    <w:p w14:paraId="0194C19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Zmiany włókniste: adenomyoepithelial adenosis adenosis apocrine adenosis / atypical apocrine adenosis apocrine metaplasia columnar cell change / hyperplasia fibrocystic changes fibrosis microcysts radial scar / complex sclerosing lesion sclerosing adenosis usual ductal hyperplasia </w:t>
      </w:r>
    </w:p>
    <w:p w14:paraId="56CC2AF3" w14:textId="118D98CD" w:rsidR="007C01BD" w:rsidRPr="000E0C14" w:rsidRDefault="007C01BD" w:rsidP="007C01BD">
      <w:pPr>
        <w:pStyle w:val="Default"/>
        <w:rPr>
          <w:rFonts w:asciiTheme="majorHAnsi" w:hAnsiTheme="majorHAnsi"/>
          <w:sz w:val="22"/>
          <w:szCs w:val="22"/>
          <w:lang w:val="pt-PT"/>
        </w:rPr>
      </w:pPr>
      <w:r w:rsidRPr="000E0C14">
        <w:rPr>
          <w:rFonts w:asciiTheme="majorHAnsi" w:hAnsiTheme="majorHAnsi"/>
          <w:sz w:val="22"/>
          <w:szCs w:val="22"/>
          <w:lang w:val="pt-PT"/>
        </w:rPr>
        <w:t xml:space="preserve">Guuzy fibroepitelialne: fibroadenoma, hamartoma phyllodes, tumor tubular adenoma, adenosis </w:t>
      </w:r>
      <w:r w:rsidR="00AD2343" w:rsidRPr="000E0C14">
        <w:rPr>
          <w:rFonts w:asciiTheme="majorHAnsi" w:hAnsiTheme="majorHAnsi"/>
          <w:sz w:val="22"/>
          <w:szCs w:val="22"/>
          <w:lang w:val="pt-PT"/>
        </w:rPr>
        <w:t>.</w:t>
      </w:r>
    </w:p>
    <w:p w14:paraId="719886B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Guzy nabłonkowo-mioepitelialne: adenomyoepithelioma myoepithelioma gruczolak pleomorficzny. </w:t>
      </w:r>
    </w:p>
    <w:p w14:paraId="0374FD8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Inne łagodne guzy: gruczolak apokrynowy atypowa proliferacja naczyniowa łagodne wrzecionowatokomórkowe guzy stromalne cylindroma gruczolak przewodowy gruczolak ekrynowy spiradenoma włókniakomięśniak ziarnistokomórkowy guz naczyniaka zapalny guz miofibroblastyczny wewnątrzprzewodowy brodawczak leiomyoma gruczolak mikrogruczołowy miofibroblastoma gruczolak sutka guz syringomatyczny </w:t>
      </w:r>
    </w:p>
    <w:p w14:paraId="3A2F4FB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Nieinwazyjna neoplazja zrazikowa: atypowa hiperplazja zrazikowa LCIS klasyczny LCIS </w:t>
      </w:r>
    </w:p>
    <w:p w14:paraId="44118B8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Wewnątrzprzewodowa atypia: atypowa hiperplazja przewodowa płaska atypia nabłonka </w:t>
      </w:r>
    </w:p>
    <w:p w14:paraId="70236DEC"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Rak przewodowy in situ: DCIS Choroba Pageta </w:t>
      </w:r>
    </w:p>
    <w:p w14:paraId="1A3CDE7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Rak brodawkowaty: otoczony rak brodawkowaty lity rak brodawkowaty </w:t>
      </w:r>
    </w:p>
    <w:p w14:paraId="2C2E312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Rak piersi: atezolizumab chemioterapia klasyfikacja histologiczna terapia hormonalna zapalne podtypy molekularne produkty wielogenowe pertuzumab radioterapia i krioablacja rozsiew i przerzuty trastuzumab potrójnie ujemny rak piersi </w:t>
      </w:r>
    </w:p>
    <w:p w14:paraId="03205D12"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Inwazyjny rak piersi bez specjalnego typu i wariantów: choriocarcinomatous glycogen rich lipid rich medullary NST (ductal) onkocytic osteoclastic giant cells pleomorphic ductal carcinoma sebaceous </w:t>
      </w:r>
    </w:p>
    <w:p w14:paraId="0B9F1BF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Rak zrazikowy: klasyczny pleomorficzny rak zrazikowy </w:t>
      </w:r>
    </w:p>
    <w:p w14:paraId="72015EF9" w14:textId="77777777" w:rsidR="007C01BD" w:rsidRPr="000E0C14" w:rsidRDefault="007C01BD" w:rsidP="007C01BD">
      <w:pPr>
        <w:pStyle w:val="Default"/>
        <w:rPr>
          <w:rFonts w:asciiTheme="majorHAnsi" w:hAnsiTheme="majorHAnsi"/>
          <w:sz w:val="22"/>
          <w:szCs w:val="22"/>
          <w:lang w:val="pt-PT"/>
        </w:rPr>
      </w:pPr>
      <w:r w:rsidRPr="000E0C14">
        <w:rPr>
          <w:rFonts w:asciiTheme="majorHAnsi" w:hAnsiTheme="majorHAnsi"/>
          <w:sz w:val="22"/>
          <w:szCs w:val="22"/>
          <w:lang w:val="pt-PT"/>
        </w:rPr>
        <w:t xml:space="preserve">Rak metaplastyczny: fibromatosis-like low grade adenosquamous metaplastic squamous cell carcinoma </w:t>
      </w:r>
    </w:p>
    <w:p w14:paraId="39A571C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Nowotwory neuroendokrynne: rak neuroendokrynny wielkokomórkowy NEC (w toku) guz neuroendokrynny drobnokomórkowy </w:t>
      </w:r>
    </w:p>
    <w:p w14:paraId="1B0ACF9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Inne podtypy raka, klasyfikacja WHO: acinic cell adenoid cystic apocrine criborm invasive papillary male invasive microinvasive micropapillary mixed NST mucinous mucinous cystadenocarcinoma mucoepidermoid polymorphous secretory carcinoma tall cell carcinoma with reverse polarity tubular </w:t>
      </w:r>
    </w:p>
    <w:p w14:paraId="08CB783B"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Inne podtypy raka, niesklasyfikowane w klasyfikacji WHO: BRCA associated carcinoma cystic hypersecretory lymphoepithelioma-like myoepithelial signet ring cell tubulolobular </w:t>
      </w:r>
    </w:p>
    <w:p w14:paraId="00D019C6"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Mięsaki: angiosarcoma leiomyosarcoma leiomyosarcoma low grade myofibroblastic sarcoma osteosarcoma rhabdomyosarcoma stromal sarcoma undifferentiated pleomorphic sarcoma </w:t>
      </w:r>
    </w:p>
    <w:p w14:paraId="4A79661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Inne nowotwory złośliwe: przerzuty chłoniaka anaplastycznego wielkokomórkowego związanego z implantem piersi </w:t>
      </w:r>
    </w:p>
    <w:p w14:paraId="4627C22C" w14:textId="77777777" w:rsidR="007C01BD" w:rsidRPr="000E0C14" w:rsidRDefault="007C01BD" w:rsidP="007C01BD">
      <w:pPr>
        <w:pStyle w:val="Default"/>
        <w:rPr>
          <w:rFonts w:asciiTheme="majorHAnsi" w:hAnsiTheme="majorHAnsi"/>
          <w:b/>
          <w:bCs/>
          <w:sz w:val="22"/>
          <w:szCs w:val="22"/>
        </w:rPr>
      </w:pPr>
    </w:p>
    <w:p w14:paraId="2E4E8428" w14:textId="6898BA16" w:rsidR="007C01BD" w:rsidRPr="000E0C14" w:rsidRDefault="007C01BD" w:rsidP="007C01BD">
      <w:pPr>
        <w:pStyle w:val="Default"/>
        <w:rPr>
          <w:rFonts w:asciiTheme="majorHAnsi" w:hAnsiTheme="majorHAnsi"/>
          <w:b/>
          <w:bCs/>
          <w:sz w:val="22"/>
          <w:szCs w:val="22"/>
        </w:rPr>
      </w:pPr>
      <w:r w:rsidRPr="000E0C14">
        <w:rPr>
          <w:rFonts w:asciiTheme="majorHAnsi" w:hAnsiTheme="majorHAnsi"/>
          <w:b/>
          <w:bCs/>
          <w:sz w:val="22"/>
          <w:szCs w:val="22"/>
        </w:rPr>
        <w:t xml:space="preserve">Kody CPV: </w:t>
      </w:r>
    </w:p>
    <w:p w14:paraId="44609F8A" w14:textId="77777777" w:rsidR="005176EB" w:rsidRPr="000E0C14" w:rsidRDefault="005176EB" w:rsidP="007C01BD">
      <w:pPr>
        <w:pStyle w:val="Default"/>
        <w:rPr>
          <w:rFonts w:asciiTheme="majorHAnsi" w:hAnsiTheme="majorHAnsi"/>
          <w:sz w:val="22"/>
          <w:szCs w:val="22"/>
        </w:rPr>
      </w:pPr>
    </w:p>
    <w:p w14:paraId="1530C4E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73100000-3 Usługi badawcze i eksperymentalno-rozwojowe </w:t>
      </w:r>
    </w:p>
    <w:p w14:paraId="0AFDB71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72320000-4: Usługi bazy danych </w:t>
      </w:r>
    </w:p>
    <w:p w14:paraId="4266C966" w14:textId="77777777" w:rsidR="007C01BD" w:rsidRPr="000E0C14" w:rsidRDefault="007C01BD" w:rsidP="007C01BD">
      <w:pPr>
        <w:pStyle w:val="Default"/>
        <w:rPr>
          <w:rFonts w:asciiTheme="majorHAnsi" w:hAnsiTheme="majorHAnsi"/>
          <w:sz w:val="22"/>
          <w:szCs w:val="22"/>
        </w:rPr>
      </w:pPr>
    </w:p>
    <w:p w14:paraId="74A0C946" w14:textId="77777777" w:rsidR="007C01BD" w:rsidRPr="000E0C14" w:rsidRDefault="007C01BD" w:rsidP="007C01BD">
      <w:pPr>
        <w:pStyle w:val="Default"/>
        <w:rPr>
          <w:rFonts w:asciiTheme="majorHAnsi" w:hAnsiTheme="majorHAnsi"/>
          <w:b/>
          <w:bCs/>
          <w:sz w:val="22"/>
          <w:szCs w:val="22"/>
        </w:rPr>
      </w:pPr>
    </w:p>
    <w:p w14:paraId="7C491D2D" w14:textId="20A1A76D"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XI. Warunki udziału w postępowaniu oraz sposób dokonania ich oceny kryteria formalne </w:t>
      </w:r>
    </w:p>
    <w:p w14:paraId="1BF1405C" w14:textId="77777777" w:rsidR="007C01BD" w:rsidRPr="000E0C14" w:rsidRDefault="007C01BD" w:rsidP="007C01BD">
      <w:pPr>
        <w:pStyle w:val="Default"/>
        <w:rPr>
          <w:rFonts w:asciiTheme="majorHAnsi" w:hAnsiTheme="majorHAnsi"/>
          <w:sz w:val="22"/>
          <w:szCs w:val="22"/>
        </w:rPr>
      </w:pPr>
    </w:p>
    <w:p w14:paraId="113ECA63"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Do oceny będą brane pod uwagę tylko oferty spełniające wymagania określone w punkcie "Przedmiot zamówienia" oraz "Warunki". Zamawiający ma prawo odrzucenia oferty, jeśli oferta jest niekompletna lub niezgodna z zamówieniem. </w:t>
      </w:r>
    </w:p>
    <w:p w14:paraId="28A91FC8" w14:textId="5DBD029A" w:rsidR="007C01BD" w:rsidRPr="000E0C14" w:rsidRDefault="007C01BD" w:rsidP="00FB7D0F">
      <w:pPr>
        <w:pStyle w:val="Default"/>
        <w:rPr>
          <w:rFonts w:asciiTheme="majorHAnsi" w:hAnsiTheme="majorHAnsi"/>
          <w:sz w:val="22"/>
          <w:szCs w:val="22"/>
        </w:rPr>
      </w:pPr>
      <w:r w:rsidRPr="000E0C14">
        <w:rPr>
          <w:rFonts w:asciiTheme="majorHAnsi" w:hAnsiTheme="majorHAnsi"/>
          <w:sz w:val="22"/>
          <w:szCs w:val="22"/>
        </w:rPr>
        <w:t>O udzielenie zamówienia może ubiegać się Wykonawca, spełniając</w:t>
      </w:r>
      <w:r w:rsidR="00AD2343" w:rsidRPr="000E0C14">
        <w:rPr>
          <w:rFonts w:asciiTheme="majorHAnsi" w:hAnsiTheme="majorHAnsi"/>
          <w:sz w:val="22"/>
          <w:szCs w:val="22"/>
        </w:rPr>
        <w:t>y</w:t>
      </w:r>
      <w:r w:rsidRPr="000E0C14">
        <w:rPr>
          <w:rFonts w:asciiTheme="majorHAnsi" w:hAnsiTheme="majorHAnsi"/>
          <w:sz w:val="22"/>
          <w:szCs w:val="22"/>
        </w:rPr>
        <w:t xml:space="preserve"> łącznie następujące warunki: </w:t>
      </w:r>
    </w:p>
    <w:p w14:paraId="7B350096" w14:textId="77777777" w:rsidR="007C01BD" w:rsidRPr="000E0C14" w:rsidRDefault="007C01BD" w:rsidP="007C01BD">
      <w:pPr>
        <w:pStyle w:val="Default"/>
        <w:rPr>
          <w:rFonts w:asciiTheme="majorHAnsi" w:hAnsiTheme="majorHAnsi"/>
          <w:sz w:val="22"/>
          <w:szCs w:val="22"/>
        </w:rPr>
      </w:pPr>
    </w:p>
    <w:p w14:paraId="3B647EE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1. Posiadają uprawnienia do wykonywania określonej działalności lub czynności, jeżeli przepisy prawa nakładają obowiązek ich posiadania </w:t>
      </w:r>
    </w:p>
    <w:p w14:paraId="1964C92C" w14:textId="77777777" w:rsidR="007C01BD" w:rsidRPr="000E0C14" w:rsidRDefault="007C01BD" w:rsidP="007C01BD">
      <w:pPr>
        <w:pStyle w:val="Default"/>
        <w:rPr>
          <w:rFonts w:asciiTheme="majorHAnsi" w:hAnsiTheme="majorHAnsi"/>
          <w:sz w:val="22"/>
          <w:szCs w:val="22"/>
        </w:rPr>
      </w:pPr>
    </w:p>
    <w:p w14:paraId="4A86566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2. Posiadają wiedzę i doświadczenie do wykonania zamówienia </w:t>
      </w:r>
    </w:p>
    <w:p w14:paraId="1EACA653" w14:textId="77777777" w:rsidR="007C01BD" w:rsidRPr="000E0C14" w:rsidRDefault="007C01BD" w:rsidP="007C01BD">
      <w:pPr>
        <w:pStyle w:val="Default"/>
        <w:rPr>
          <w:rFonts w:asciiTheme="majorHAnsi" w:hAnsiTheme="majorHAnsi"/>
          <w:sz w:val="22"/>
          <w:szCs w:val="22"/>
        </w:rPr>
      </w:pPr>
    </w:p>
    <w:p w14:paraId="607584E2"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3. Dysponują potencjałem organizacyjnym i technicznym, a także osobami zdolnymi do wykonania Zamówienia </w:t>
      </w:r>
    </w:p>
    <w:p w14:paraId="1777BDED" w14:textId="77777777" w:rsidR="007C01BD" w:rsidRPr="000E0C14" w:rsidRDefault="007C01BD" w:rsidP="007C01BD">
      <w:pPr>
        <w:pStyle w:val="Default"/>
        <w:rPr>
          <w:rFonts w:asciiTheme="majorHAnsi" w:hAnsiTheme="majorHAnsi"/>
          <w:sz w:val="22"/>
          <w:szCs w:val="22"/>
        </w:rPr>
      </w:pPr>
    </w:p>
    <w:p w14:paraId="67BDEF2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4. Spełniają wymóg braku powiązań osobowych lub kapitałowych z Zamawiającym. </w:t>
      </w:r>
    </w:p>
    <w:p w14:paraId="7C8DBFDA" w14:textId="77777777" w:rsidR="007C01BD" w:rsidRPr="000E0C14" w:rsidRDefault="007C01BD" w:rsidP="007C01BD">
      <w:pPr>
        <w:pStyle w:val="Default"/>
        <w:rPr>
          <w:rFonts w:asciiTheme="majorHAnsi" w:hAnsiTheme="majorHAnsi"/>
          <w:sz w:val="22"/>
          <w:szCs w:val="22"/>
        </w:rPr>
      </w:pPr>
    </w:p>
    <w:p w14:paraId="349F8E03" w14:textId="35CB4B46"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Kryteria oceny ofert składanych w ramach postępowania o udzielenie zamówienia i wybór najkorzystniejszej oferty </w:t>
      </w:r>
    </w:p>
    <w:p w14:paraId="2DF805ED" w14:textId="77777777" w:rsidR="007C01BD" w:rsidRPr="000E0C14" w:rsidRDefault="007C01BD" w:rsidP="007C01BD">
      <w:pPr>
        <w:pStyle w:val="Default"/>
        <w:rPr>
          <w:rFonts w:asciiTheme="majorHAnsi" w:hAnsiTheme="majorHAnsi"/>
          <w:sz w:val="22"/>
          <w:szCs w:val="22"/>
        </w:rPr>
      </w:pPr>
    </w:p>
    <w:p w14:paraId="15EF7687" w14:textId="77777777" w:rsidR="007C01BD" w:rsidRPr="000E0C14" w:rsidRDefault="007C01BD" w:rsidP="007C01BD">
      <w:pPr>
        <w:pStyle w:val="Default"/>
        <w:rPr>
          <w:rFonts w:asciiTheme="majorHAnsi" w:hAnsiTheme="majorHAnsi"/>
          <w:sz w:val="22"/>
          <w:szCs w:val="22"/>
        </w:rPr>
      </w:pPr>
    </w:p>
    <w:p w14:paraId="6817D8A9" w14:textId="1F08213A"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Kryterium: Cena </w:t>
      </w:r>
    </w:p>
    <w:p w14:paraId="75DFC7D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Waga kryterium: 100% </w:t>
      </w:r>
    </w:p>
    <w:p w14:paraId="6A44512E" w14:textId="77777777" w:rsidR="007C01BD" w:rsidRPr="000E0C14" w:rsidRDefault="007C01BD" w:rsidP="007C01BD">
      <w:pPr>
        <w:pStyle w:val="Default"/>
        <w:rPr>
          <w:rFonts w:asciiTheme="majorHAnsi" w:hAnsiTheme="majorHAnsi"/>
          <w:sz w:val="22"/>
          <w:szCs w:val="22"/>
        </w:rPr>
      </w:pPr>
    </w:p>
    <w:p w14:paraId="4610F756" w14:textId="0DE2317D" w:rsidR="007C01BD" w:rsidRPr="000E0C14" w:rsidRDefault="007C01BD" w:rsidP="007C01BD">
      <w:pPr>
        <w:spacing w:after="181" w:line="259" w:lineRule="auto"/>
        <w:ind w:left="0" w:right="0" w:firstLine="0"/>
        <w:jc w:val="left"/>
        <w:rPr>
          <w:rFonts w:asciiTheme="majorHAnsi" w:eastAsiaTheme="minorEastAsia" w:hAnsiTheme="majorHAnsi"/>
        </w:rPr>
      </w:pPr>
      <w:r w:rsidRPr="000E0C14">
        <w:rPr>
          <w:rFonts w:asciiTheme="majorHAnsi" w:eastAsiaTheme="minorEastAsia" w:hAnsiTheme="majorHAnsi"/>
        </w:rPr>
        <w:t xml:space="preserve">Całkowita cena brutto </w:t>
      </w:r>
      <w:r w:rsidR="00AD2343" w:rsidRPr="000E0C14">
        <w:rPr>
          <w:rFonts w:asciiTheme="majorHAnsi" w:eastAsiaTheme="minorEastAsia" w:hAnsiTheme="majorHAnsi"/>
        </w:rPr>
        <w:t>1</w:t>
      </w:r>
      <w:r w:rsidRPr="000E0C14">
        <w:rPr>
          <w:rFonts w:asciiTheme="majorHAnsi" w:eastAsiaTheme="minorEastAsia" w:hAnsiTheme="majorHAnsi"/>
        </w:rPr>
        <w:t xml:space="preserve">0 000 obrazów zeskanowanych preparatów histopatologicznych powinna być wyrażona w złotych polskich (PLN) z dokładnością do dwóch miejsc po przecinku. Jeżeli Wykonawca określi cenę w walucie innej niż PLN, Zamawiający przeliczy ją na PLN po średnim kursie NBP z dnia upublicznienia Zapytania Ofertowego na stronie internetowej Zamawiającego.  </w:t>
      </w:r>
    </w:p>
    <w:p w14:paraId="13ED7922" w14:textId="77777777" w:rsidR="007C01BD" w:rsidRPr="000E0C14" w:rsidRDefault="007C01BD" w:rsidP="007C01BD">
      <w:pPr>
        <w:spacing w:after="66"/>
        <w:ind w:left="2" w:right="0"/>
        <w:rPr>
          <w:rFonts w:asciiTheme="majorHAnsi" w:hAnsiTheme="majorHAnsi"/>
        </w:rPr>
      </w:pPr>
      <w:r w:rsidRPr="000E0C14">
        <w:rPr>
          <w:rFonts w:asciiTheme="majorHAnsi" w:hAnsiTheme="majorHAnsi"/>
        </w:rPr>
        <w:t xml:space="preserve">Wartość punktowa w niniejszym kryterium obliczana będzie w sposób następujący:  </w:t>
      </w:r>
    </w:p>
    <w:p w14:paraId="184CCD7E" w14:textId="77777777" w:rsidR="007C01BD" w:rsidRPr="000E0C14" w:rsidRDefault="007C01BD" w:rsidP="007C01BD">
      <w:pPr>
        <w:spacing w:after="71"/>
        <w:ind w:left="2" w:right="0"/>
        <w:rPr>
          <w:rFonts w:asciiTheme="majorHAnsi" w:hAnsiTheme="majorHAnsi"/>
        </w:rPr>
      </w:pP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całkowita</w:t>
      </w:r>
      <w:r w:rsidRPr="000E0C14">
        <w:rPr>
          <w:rFonts w:asciiTheme="majorHAnsi" w:hAnsiTheme="majorHAnsi"/>
          <w:u w:val="single" w:color="000000"/>
          <w:shd w:val="clear" w:color="auto" w:fill="DADADB"/>
        </w:rPr>
        <w:t xml:space="preserve"> cena brutto </w:t>
      </w:r>
      <w:r w:rsidRPr="000E0C14">
        <w:rPr>
          <w:rFonts w:asciiTheme="majorHAnsi" w:hAnsiTheme="majorHAnsi"/>
          <w:shd w:val="clear" w:color="auto" w:fill="DADADB"/>
        </w:rPr>
        <w:t>najtańszej</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spośr</w:t>
      </w:r>
      <w:r w:rsidRPr="000E0C14">
        <w:rPr>
          <w:rFonts w:asciiTheme="majorHAnsi" w:hAnsiTheme="majorHAnsi"/>
          <w:u w:val="single" w:color="000000"/>
          <w:shd w:val="clear" w:color="auto" w:fill="DADADB"/>
        </w:rPr>
        <w:t>ód z</w:t>
      </w:r>
      <w:r w:rsidRPr="000E0C14">
        <w:rPr>
          <w:rFonts w:asciiTheme="majorHAnsi" w:hAnsiTheme="majorHAnsi"/>
          <w:shd w:val="clear" w:color="auto" w:fill="DADADB"/>
        </w:rPr>
        <w:t>łożonych</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ofert/całkowita</w:t>
      </w:r>
      <w:r w:rsidRPr="000E0C14">
        <w:rPr>
          <w:rFonts w:asciiTheme="majorHAnsi" w:hAnsiTheme="majorHAnsi"/>
          <w:u w:val="single" w:color="000000"/>
          <w:shd w:val="clear" w:color="auto" w:fill="DADADB"/>
        </w:rPr>
        <w:t xml:space="preserve"> cena brutto badanej oferty x 100</w:t>
      </w:r>
      <w:r w:rsidRPr="000E0C14">
        <w:rPr>
          <w:rFonts w:asciiTheme="majorHAnsi" w:hAnsiTheme="majorHAnsi"/>
        </w:rPr>
        <w:t xml:space="preserve"> Oferta może otrzymać za kryterium „Całkowita cena brutto" maksymalnie 100 punktów.  </w:t>
      </w:r>
    </w:p>
    <w:p w14:paraId="557420D5" w14:textId="77777777" w:rsidR="007C01BD" w:rsidRPr="000E0C14" w:rsidRDefault="007C01BD" w:rsidP="007C01BD">
      <w:pPr>
        <w:spacing w:after="283"/>
        <w:ind w:left="2" w:right="0"/>
        <w:rPr>
          <w:rFonts w:asciiTheme="majorHAnsi" w:hAnsiTheme="majorHAnsi"/>
        </w:rPr>
      </w:pPr>
      <w:r w:rsidRPr="000E0C14">
        <w:rPr>
          <w:rFonts w:asciiTheme="majorHAnsi" w:hAnsiTheme="majorHAnsi"/>
        </w:rPr>
        <w:t xml:space="preserve">Za najkorzystniejszą wybrana zostanie ta oferta, która otrzyma największą liczbę punktów.  </w:t>
      </w:r>
    </w:p>
    <w:p w14:paraId="631C5ED9" w14:textId="30FD0C4D" w:rsidR="007C01BD" w:rsidRPr="000E0C14" w:rsidRDefault="00FB7D0F" w:rsidP="007C01BD">
      <w:pPr>
        <w:tabs>
          <w:tab w:val="center" w:pos="2070"/>
        </w:tabs>
        <w:spacing w:after="73" w:line="270" w:lineRule="auto"/>
        <w:ind w:left="-10" w:right="0" w:firstLine="0"/>
        <w:jc w:val="left"/>
        <w:rPr>
          <w:rFonts w:asciiTheme="majorHAnsi" w:eastAsiaTheme="minorEastAsia" w:hAnsiTheme="majorHAnsi"/>
          <w:b/>
          <w:bCs/>
        </w:rPr>
      </w:pPr>
      <w:r>
        <w:rPr>
          <w:rFonts w:asciiTheme="majorHAnsi" w:eastAsiaTheme="minorEastAsia" w:hAnsiTheme="majorHAnsi"/>
          <w:b/>
          <w:bCs/>
        </w:rPr>
        <w:t>XI</w:t>
      </w:r>
      <w:r w:rsidR="007C01BD" w:rsidRPr="000E0C14">
        <w:rPr>
          <w:rFonts w:asciiTheme="majorHAnsi" w:eastAsiaTheme="minorEastAsia" w:hAnsiTheme="majorHAnsi"/>
          <w:b/>
          <w:bCs/>
        </w:rPr>
        <w:t xml:space="preserve">I.  </w:t>
      </w:r>
      <w:r w:rsidR="007C01BD" w:rsidRPr="000E0C14">
        <w:rPr>
          <w:rFonts w:asciiTheme="majorHAnsi" w:eastAsiaTheme="minorEastAsia" w:hAnsiTheme="majorHAnsi"/>
          <w:b/>
          <w:bCs/>
        </w:rPr>
        <w:tab/>
      </w:r>
      <w:bookmarkStart w:id="0" w:name="_Hlk151129392"/>
      <w:r w:rsidR="007C01BD" w:rsidRPr="000E0C14">
        <w:rPr>
          <w:rFonts w:asciiTheme="majorHAnsi" w:eastAsiaTheme="minorEastAsia" w:hAnsiTheme="majorHAnsi"/>
          <w:b/>
          <w:bCs/>
        </w:rPr>
        <w:t xml:space="preserve">Termin realizacji zamówienia </w:t>
      </w:r>
    </w:p>
    <w:p w14:paraId="526F9202" w14:textId="39FD03AF" w:rsidR="007C01BD" w:rsidRPr="000E0C14" w:rsidRDefault="007C01BD" w:rsidP="007C01BD">
      <w:pPr>
        <w:tabs>
          <w:tab w:val="center" w:pos="2070"/>
        </w:tabs>
        <w:spacing w:after="73" w:line="270" w:lineRule="auto"/>
        <w:ind w:left="-10" w:right="0" w:firstLine="0"/>
        <w:jc w:val="left"/>
        <w:rPr>
          <w:rFonts w:asciiTheme="majorHAnsi" w:eastAsiaTheme="minorEastAsia" w:hAnsiTheme="majorHAnsi"/>
        </w:rPr>
      </w:pPr>
      <w:r w:rsidRPr="000E0C14">
        <w:rPr>
          <w:rFonts w:asciiTheme="majorHAnsi" w:eastAsiaTheme="minorEastAsia" w:hAnsiTheme="majorHAnsi"/>
        </w:rPr>
        <w:t xml:space="preserve">Od </w:t>
      </w:r>
      <w:r w:rsidR="00FB7D0F">
        <w:rPr>
          <w:rFonts w:asciiTheme="majorHAnsi" w:eastAsiaTheme="minorEastAsia" w:hAnsiTheme="majorHAnsi"/>
        </w:rPr>
        <w:t>daty podpisania umowy</w:t>
      </w:r>
      <w:r w:rsidR="00AD2343" w:rsidRPr="000E0C14">
        <w:rPr>
          <w:rFonts w:asciiTheme="majorHAnsi" w:eastAsiaTheme="minorEastAsia" w:hAnsiTheme="majorHAnsi"/>
        </w:rPr>
        <w:t xml:space="preserve"> </w:t>
      </w:r>
      <w:r w:rsidRPr="000E0C14">
        <w:rPr>
          <w:rFonts w:asciiTheme="majorHAnsi" w:eastAsiaTheme="minorEastAsia" w:hAnsiTheme="majorHAnsi"/>
        </w:rPr>
        <w:t xml:space="preserve"> do </w:t>
      </w:r>
      <w:r w:rsidR="00AD2343" w:rsidRPr="000E0C14">
        <w:rPr>
          <w:rFonts w:asciiTheme="majorHAnsi" w:eastAsiaTheme="minorEastAsia" w:hAnsiTheme="majorHAnsi"/>
        </w:rPr>
        <w:t>31.01.2025 r.</w:t>
      </w:r>
      <w:r w:rsidRPr="000E0C14">
        <w:rPr>
          <w:rFonts w:asciiTheme="majorHAnsi" w:eastAsiaTheme="minorEastAsia" w:hAnsiTheme="majorHAnsi"/>
        </w:rPr>
        <w:t xml:space="preserve"> </w:t>
      </w:r>
    </w:p>
    <w:bookmarkEnd w:id="0"/>
    <w:p w14:paraId="09168640" w14:textId="77777777" w:rsidR="007C01BD" w:rsidRPr="000E0C14" w:rsidRDefault="007C01BD" w:rsidP="007C01BD">
      <w:pPr>
        <w:pStyle w:val="Default"/>
        <w:rPr>
          <w:rFonts w:asciiTheme="majorHAnsi" w:hAnsiTheme="majorHAnsi"/>
          <w:sz w:val="22"/>
          <w:szCs w:val="22"/>
        </w:rPr>
      </w:pPr>
    </w:p>
    <w:p w14:paraId="4028F248" w14:textId="63E1E6EF" w:rsidR="007C01BD" w:rsidRPr="000E0C14" w:rsidRDefault="007C01BD" w:rsidP="007C01BD">
      <w:pPr>
        <w:pStyle w:val="Default"/>
        <w:rPr>
          <w:rFonts w:asciiTheme="majorHAnsi" w:hAnsiTheme="majorHAnsi"/>
          <w:b/>
          <w:bCs/>
          <w:sz w:val="22"/>
          <w:szCs w:val="22"/>
        </w:rPr>
      </w:pPr>
      <w:r w:rsidRPr="000E0C14">
        <w:rPr>
          <w:rFonts w:asciiTheme="majorHAnsi" w:hAnsiTheme="majorHAnsi"/>
          <w:b/>
          <w:bCs/>
          <w:sz w:val="22"/>
          <w:szCs w:val="22"/>
        </w:rPr>
        <w:t xml:space="preserve">XIII. Dodatkowe warunki udziału </w:t>
      </w:r>
    </w:p>
    <w:p w14:paraId="7DE3945C" w14:textId="77777777" w:rsidR="007C01BD" w:rsidRPr="000E0C14" w:rsidRDefault="007C01BD" w:rsidP="007C01BD">
      <w:pPr>
        <w:pStyle w:val="Default"/>
        <w:rPr>
          <w:rFonts w:asciiTheme="majorHAnsi" w:hAnsiTheme="majorHAnsi"/>
          <w:sz w:val="22"/>
          <w:szCs w:val="22"/>
        </w:rPr>
      </w:pPr>
    </w:p>
    <w:p w14:paraId="1EBF965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1. Zamawiający podpisze z wybranym Wykonawcą umowę na realizację usługi w terminie nie dłuższym niż 14 dni od dnia zakończenia procedury wyboru. </w:t>
      </w:r>
    </w:p>
    <w:p w14:paraId="36F675DF" w14:textId="77777777" w:rsidR="007C01BD" w:rsidRPr="000E0C14" w:rsidRDefault="007C01BD" w:rsidP="007C01BD">
      <w:pPr>
        <w:pStyle w:val="Default"/>
        <w:rPr>
          <w:rFonts w:asciiTheme="majorHAnsi" w:hAnsiTheme="majorHAnsi"/>
          <w:sz w:val="22"/>
          <w:szCs w:val="22"/>
        </w:rPr>
      </w:pPr>
    </w:p>
    <w:p w14:paraId="2814BAB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2. Wszelkie wyniki prac realizowanych przez Oferenta stanowią własność Zamawiającego i obejmują wszystkie znane w dniu ogłoszenia zapytania ofertowego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w:t>
      </w:r>
    </w:p>
    <w:p w14:paraId="3E4AC123" w14:textId="77777777" w:rsidR="007C01BD" w:rsidRPr="000E0C14" w:rsidRDefault="007C01BD" w:rsidP="007C01BD">
      <w:pPr>
        <w:pStyle w:val="Default"/>
        <w:rPr>
          <w:rFonts w:asciiTheme="majorHAnsi" w:hAnsiTheme="majorHAnsi"/>
          <w:sz w:val="22"/>
          <w:szCs w:val="22"/>
        </w:rPr>
      </w:pPr>
    </w:p>
    <w:p w14:paraId="54E0355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3. Zamawiający oczekuje współpracy Wykonawcy z zespołem B+R zaangażowanym w realizację projektu. </w:t>
      </w:r>
    </w:p>
    <w:p w14:paraId="386ABAA6" w14:textId="77777777" w:rsidR="007C01BD" w:rsidRPr="000E0C14" w:rsidRDefault="007C01BD" w:rsidP="007C01BD">
      <w:pPr>
        <w:pStyle w:val="Default"/>
        <w:rPr>
          <w:rFonts w:asciiTheme="majorHAnsi" w:hAnsiTheme="majorHAnsi"/>
          <w:sz w:val="22"/>
          <w:szCs w:val="22"/>
        </w:rPr>
      </w:pPr>
    </w:p>
    <w:p w14:paraId="718731B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4. Zamawiający nie dopuszcza składania ofert wariantowych i częściowych. </w:t>
      </w:r>
    </w:p>
    <w:p w14:paraId="6A8A46C3" w14:textId="77777777" w:rsidR="007C01BD" w:rsidRPr="000E0C14" w:rsidRDefault="007C01BD" w:rsidP="007C01BD">
      <w:pPr>
        <w:pStyle w:val="Default"/>
        <w:rPr>
          <w:rFonts w:asciiTheme="majorHAnsi" w:hAnsiTheme="majorHAnsi"/>
          <w:sz w:val="22"/>
          <w:szCs w:val="22"/>
        </w:rPr>
      </w:pPr>
    </w:p>
    <w:p w14:paraId="55C9A39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5. Zamawiający zastrzega sobie prawo do zmiany treści niniejszego zapytania. Jeżeli zmiany będą mogły mieć wpływ na treść składanych w postępowaniu ofert Zamawiający przedłuży termin składania ofert. </w:t>
      </w:r>
    </w:p>
    <w:p w14:paraId="3395E89E" w14:textId="77777777" w:rsidR="007C01BD" w:rsidRPr="000E0C14" w:rsidRDefault="007C01BD" w:rsidP="007C01BD">
      <w:pPr>
        <w:pStyle w:val="Default"/>
        <w:rPr>
          <w:rFonts w:asciiTheme="majorHAnsi" w:hAnsiTheme="majorHAnsi"/>
          <w:sz w:val="22"/>
          <w:szCs w:val="22"/>
        </w:rPr>
      </w:pPr>
    </w:p>
    <w:p w14:paraId="1909CC8B"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6. Zamawiający zastrzega sobie prawo do unieważnienia niniejszego postępowania bez podania uzasadnienia, zmiany ilości zamawianych produktów w stosunku dookreślonej w zapytaniu, zakupu jednej z jego części/pozycji, a także do pozostawienia postępowania bez wyboru oferty. </w:t>
      </w:r>
    </w:p>
    <w:p w14:paraId="31D1A87E" w14:textId="77777777" w:rsidR="007C01BD" w:rsidRPr="000E0C14" w:rsidRDefault="007C01BD" w:rsidP="007C01BD">
      <w:pPr>
        <w:pStyle w:val="Default"/>
        <w:rPr>
          <w:rFonts w:asciiTheme="majorHAnsi" w:hAnsiTheme="majorHAnsi"/>
          <w:sz w:val="22"/>
          <w:szCs w:val="22"/>
        </w:rPr>
      </w:pPr>
    </w:p>
    <w:p w14:paraId="5339C13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7. Zamawiający zastrzega sobie prawo do wezwania Oferenta w celu złożenia wyjaśnień w przypadku rażąco niskiej/wysokiej ceny. Zamawiający może poprosić o złożenie dowodów dotyczących wyliczenia ceny w postaci szczegółowej kalkulacji przedstawiającej wycenę składowych specyfikacji. </w:t>
      </w:r>
    </w:p>
    <w:p w14:paraId="69B633D8" w14:textId="77777777" w:rsidR="007C01BD" w:rsidRPr="000E0C14" w:rsidRDefault="007C01BD" w:rsidP="007C01BD">
      <w:pPr>
        <w:pStyle w:val="Default"/>
        <w:rPr>
          <w:rFonts w:asciiTheme="majorHAnsi" w:hAnsiTheme="majorHAnsi"/>
          <w:sz w:val="22"/>
          <w:szCs w:val="22"/>
        </w:rPr>
      </w:pPr>
    </w:p>
    <w:p w14:paraId="0DEFCFA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8. W celu uniknięcia konfliktu interesów zamówienie nie będzie udzielone podmiotom powiązanym z Zamawiającym osobowo lub kapitałowo. Za wykonawcę powiązanego uznaje się podmiot: </w:t>
      </w:r>
    </w:p>
    <w:p w14:paraId="43FDAF2E" w14:textId="77777777" w:rsidR="007C01BD" w:rsidRPr="000E0C14" w:rsidRDefault="007C01BD" w:rsidP="007C01BD">
      <w:pPr>
        <w:pStyle w:val="Default"/>
        <w:rPr>
          <w:rFonts w:asciiTheme="majorHAnsi" w:hAnsiTheme="majorHAnsi"/>
          <w:sz w:val="22"/>
          <w:szCs w:val="22"/>
        </w:rPr>
      </w:pPr>
    </w:p>
    <w:p w14:paraId="7636411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1) powiązany lub będący jednostką zależną, współzależną lub dominującą w relacji z Beneficjentem w rozumieniu ustawy z dnia 29 września 1994 r. o rachunkowości; </w:t>
      </w:r>
    </w:p>
    <w:p w14:paraId="1A6AFC59" w14:textId="77777777" w:rsidR="007C01BD" w:rsidRPr="000E0C14" w:rsidRDefault="007C01BD" w:rsidP="007C01BD">
      <w:pPr>
        <w:pStyle w:val="Default"/>
        <w:rPr>
          <w:rFonts w:asciiTheme="majorHAnsi" w:hAnsiTheme="majorHAnsi"/>
          <w:sz w:val="22"/>
          <w:szCs w:val="22"/>
        </w:rPr>
      </w:pPr>
    </w:p>
    <w:p w14:paraId="155FADC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2) będący podmiotem pozostającym z Beneficjentem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14:paraId="129ACE7D" w14:textId="77777777" w:rsidR="007C01BD" w:rsidRPr="000E0C14" w:rsidRDefault="007C01BD" w:rsidP="007C01BD">
      <w:pPr>
        <w:pStyle w:val="Default"/>
        <w:rPr>
          <w:rFonts w:asciiTheme="majorHAnsi" w:hAnsiTheme="majorHAnsi"/>
          <w:sz w:val="22"/>
          <w:szCs w:val="22"/>
        </w:rPr>
      </w:pPr>
    </w:p>
    <w:p w14:paraId="57F05C6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3) będący podmiotem powiązanym lub podmiotem partnerskim w stosunku do Beneficjenta w rozumieniu Rozporządzenia nr 651/2014; </w:t>
      </w:r>
    </w:p>
    <w:p w14:paraId="3B162187" w14:textId="77777777" w:rsidR="007C01BD" w:rsidRPr="000E0C14" w:rsidRDefault="007C01BD" w:rsidP="007C01BD">
      <w:pPr>
        <w:pStyle w:val="Default"/>
        <w:rPr>
          <w:rFonts w:asciiTheme="majorHAnsi" w:hAnsiTheme="majorHAnsi"/>
          <w:sz w:val="22"/>
          <w:szCs w:val="22"/>
        </w:rPr>
      </w:pPr>
    </w:p>
    <w:p w14:paraId="5B111BC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4) będący podmiotem powiązanym osobowo z Beneficjentem w rozumieniu art. 32 ust. 2 ustawy z dnia 11 marca 2004 r. o podatku od towarów i usług. </w:t>
      </w:r>
    </w:p>
    <w:p w14:paraId="3A634BB4" w14:textId="77777777" w:rsidR="007C01BD" w:rsidRPr="000E0C14" w:rsidRDefault="007C01BD" w:rsidP="007C01BD">
      <w:pPr>
        <w:pStyle w:val="Default"/>
        <w:rPr>
          <w:rFonts w:asciiTheme="majorHAnsi" w:hAnsiTheme="majorHAnsi"/>
          <w:sz w:val="22"/>
          <w:szCs w:val="22"/>
        </w:rPr>
      </w:pPr>
    </w:p>
    <w:p w14:paraId="0E5C0AE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 związku z powyższym oferent jest zobowiązany do złożenia Oświadczenie o braku powiązań kapitałowych lub osobowych. </w:t>
      </w:r>
    </w:p>
    <w:p w14:paraId="7C1A7FC7" w14:textId="77777777" w:rsidR="007C01BD" w:rsidRPr="000E0C14" w:rsidRDefault="007C01BD" w:rsidP="007C01BD">
      <w:pPr>
        <w:pStyle w:val="Default"/>
        <w:rPr>
          <w:rFonts w:asciiTheme="majorHAnsi" w:hAnsiTheme="majorHAnsi"/>
          <w:sz w:val="22"/>
          <w:szCs w:val="22"/>
        </w:rPr>
      </w:pPr>
    </w:p>
    <w:p w14:paraId="1FA4E2EA" w14:textId="33C94B54"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9. Zamawiający dopuszcza składanie ofert</w:t>
      </w:r>
      <w:r w:rsidR="00AD2343" w:rsidRPr="000E0C14">
        <w:rPr>
          <w:rFonts w:asciiTheme="majorHAnsi" w:hAnsiTheme="majorHAnsi"/>
          <w:sz w:val="22"/>
          <w:szCs w:val="22"/>
        </w:rPr>
        <w:t xml:space="preserve"> również</w:t>
      </w:r>
      <w:r w:rsidRPr="000E0C14">
        <w:rPr>
          <w:rFonts w:asciiTheme="majorHAnsi" w:hAnsiTheme="majorHAnsi"/>
          <w:sz w:val="22"/>
          <w:szCs w:val="22"/>
        </w:rPr>
        <w:t xml:space="preserve"> za pośrednictwem poczty mailowej na adres: </w:t>
      </w:r>
      <w:hyperlink r:id="rId7" w:history="1">
        <w:r w:rsidR="00AD2343" w:rsidRPr="000E0C14">
          <w:rPr>
            <w:rStyle w:val="Hipercze"/>
            <w:rFonts w:asciiTheme="majorHAnsi" w:hAnsiTheme="majorHAnsi"/>
            <w:sz w:val="22"/>
            <w:szCs w:val="22"/>
          </w:rPr>
          <w:t>artur.ol@me.com</w:t>
        </w:r>
      </w:hyperlink>
      <w:r w:rsidR="00AD2343" w:rsidRPr="000E0C14">
        <w:rPr>
          <w:rFonts w:asciiTheme="majorHAnsi" w:hAnsiTheme="majorHAnsi"/>
          <w:sz w:val="22"/>
          <w:szCs w:val="22"/>
        </w:rPr>
        <w:t xml:space="preserve"> </w:t>
      </w:r>
      <w:r w:rsidR="007176F5">
        <w:rPr>
          <w:rFonts w:asciiTheme="majorHAnsi" w:hAnsiTheme="majorHAnsi"/>
          <w:sz w:val="22"/>
          <w:szCs w:val="22"/>
        </w:rPr>
        <w:t>do godziny 16:00 dnia</w:t>
      </w:r>
      <w:r w:rsidR="00AD2343" w:rsidRPr="000E0C14">
        <w:rPr>
          <w:rFonts w:asciiTheme="majorHAnsi" w:hAnsiTheme="majorHAnsi"/>
          <w:sz w:val="22"/>
          <w:szCs w:val="22"/>
        </w:rPr>
        <w:t xml:space="preserve"> 19.08.2024</w:t>
      </w:r>
    </w:p>
    <w:p w14:paraId="13A1FAF6" w14:textId="77777777" w:rsidR="007C01BD" w:rsidRPr="000E0C14" w:rsidRDefault="007C01BD" w:rsidP="007C01BD">
      <w:pPr>
        <w:pStyle w:val="Default"/>
        <w:rPr>
          <w:rFonts w:asciiTheme="majorHAnsi" w:hAnsiTheme="majorHAnsi"/>
          <w:sz w:val="22"/>
          <w:szCs w:val="22"/>
        </w:rPr>
      </w:pPr>
    </w:p>
    <w:p w14:paraId="3A65BDE8" w14:textId="77777777" w:rsidR="00C67288" w:rsidRPr="000E0C14" w:rsidRDefault="007C01BD" w:rsidP="00C67288">
      <w:pPr>
        <w:pStyle w:val="Default"/>
        <w:rPr>
          <w:rFonts w:asciiTheme="majorHAnsi" w:hAnsiTheme="majorHAnsi"/>
          <w:sz w:val="22"/>
          <w:szCs w:val="22"/>
        </w:rPr>
      </w:pPr>
      <w:r w:rsidRPr="000E0C14">
        <w:rPr>
          <w:rFonts w:asciiTheme="majorHAnsi" w:hAnsiTheme="majorHAnsi"/>
          <w:sz w:val="22"/>
          <w:szCs w:val="22"/>
        </w:rPr>
        <w:t xml:space="preserve">10. Wszelkie zmiany i uzupełnienia do umowy zawartej z wybranym Wykonawcą muszą być dokonywane w formie pisemnych aneksów do umowy podpisanych przez obie strony, pod rygorem nieważności. </w:t>
      </w:r>
    </w:p>
    <w:p w14:paraId="434705F9" w14:textId="77777777" w:rsidR="00AD2343" w:rsidRPr="000E0C14" w:rsidRDefault="00AD2343" w:rsidP="00C67288">
      <w:pPr>
        <w:pStyle w:val="Default"/>
        <w:rPr>
          <w:rFonts w:asciiTheme="majorHAnsi" w:hAnsiTheme="majorHAnsi"/>
          <w:sz w:val="22"/>
          <w:szCs w:val="22"/>
        </w:rPr>
      </w:pPr>
    </w:p>
    <w:p w14:paraId="55F1FCF1" w14:textId="77777777" w:rsidR="00C67288" w:rsidRPr="000E0C14" w:rsidRDefault="00C67288" w:rsidP="00C67288">
      <w:pPr>
        <w:pStyle w:val="Default"/>
        <w:rPr>
          <w:rFonts w:asciiTheme="majorHAnsi" w:hAnsiTheme="majorHAnsi"/>
          <w:sz w:val="22"/>
          <w:szCs w:val="22"/>
        </w:rPr>
      </w:pPr>
      <w:r w:rsidRPr="000E0C14">
        <w:rPr>
          <w:rFonts w:asciiTheme="majorHAnsi" w:hAnsiTheme="majorHAnsi"/>
          <w:sz w:val="22"/>
          <w:szCs w:val="22"/>
        </w:rPr>
        <w:t>11. Okres gwarancji, który wynosi 12 miesięcy od daty podpisania przez Strony bez zastrzeżeń protokołu odbioru końcowego dostawy (data dostawy) każdej dostarczonej transzy cyfrowych obrazów zeskanowanych preparatów cytologicznych.</w:t>
      </w:r>
    </w:p>
    <w:p w14:paraId="68539B88" w14:textId="77777777" w:rsidR="00C67288" w:rsidRPr="000E0C14" w:rsidRDefault="00C67288" w:rsidP="00C67288">
      <w:pPr>
        <w:pStyle w:val="Default"/>
        <w:rPr>
          <w:rFonts w:asciiTheme="majorHAnsi" w:hAnsiTheme="majorHAnsi"/>
          <w:sz w:val="22"/>
          <w:szCs w:val="22"/>
        </w:rPr>
      </w:pPr>
    </w:p>
    <w:p w14:paraId="3D4187FC" w14:textId="6D996668" w:rsidR="00C67288" w:rsidRPr="000E0C14" w:rsidRDefault="00C67288" w:rsidP="00C67288">
      <w:pPr>
        <w:pStyle w:val="Default"/>
        <w:rPr>
          <w:rFonts w:asciiTheme="majorHAnsi" w:hAnsiTheme="majorHAnsi"/>
          <w:sz w:val="22"/>
          <w:szCs w:val="22"/>
        </w:rPr>
      </w:pPr>
      <w:r w:rsidRPr="000E0C14">
        <w:rPr>
          <w:rFonts w:asciiTheme="majorHAnsi" w:hAnsiTheme="majorHAnsi"/>
          <w:sz w:val="22"/>
          <w:szCs w:val="22"/>
        </w:rPr>
        <w:t xml:space="preserve">12. W przypadku stwierdzenia przez Zamawiającego wady dostarczonego preparatu Zamawiający ma prawo w terminie </w:t>
      </w:r>
      <w:bookmarkStart w:id="1" w:name="_GoBack"/>
      <w:r w:rsidRPr="000E0C14">
        <w:rPr>
          <w:rFonts w:asciiTheme="majorHAnsi" w:hAnsiTheme="majorHAnsi"/>
          <w:sz w:val="22"/>
          <w:szCs w:val="22"/>
        </w:rPr>
        <w:t>1</w:t>
      </w:r>
      <w:r w:rsidR="00AD2343" w:rsidRPr="000E0C14">
        <w:rPr>
          <w:rFonts w:asciiTheme="majorHAnsi" w:hAnsiTheme="majorHAnsi"/>
          <w:sz w:val="22"/>
          <w:szCs w:val="22"/>
        </w:rPr>
        <w:t>8</w:t>
      </w:r>
      <w:bookmarkEnd w:id="1"/>
      <w:r w:rsidRPr="000E0C14">
        <w:rPr>
          <w:rFonts w:asciiTheme="majorHAnsi" w:hAnsiTheme="majorHAnsi"/>
          <w:sz w:val="22"/>
          <w:szCs w:val="22"/>
        </w:rPr>
        <w:t>0 dni od daty dostawy danego preparatu do zgłoszenia Dostawcy wady dostarczonego Preparatu.</w:t>
      </w:r>
    </w:p>
    <w:p w14:paraId="32AFC2FE" w14:textId="77777777" w:rsidR="00C67288" w:rsidRPr="000E0C14" w:rsidRDefault="00C67288" w:rsidP="00C67288">
      <w:pPr>
        <w:pStyle w:val="Default"/>
        <w:rPr>
          <w:rFonts w:asciiTheme="majorHAnsi" w:hAnsiTheme="majorHAnsi"/>
          <w:sz w:val="22"/>
          <w:szCs w:val="22"/>
        </w:rPr>
      </w:pPr>
    </w:p>
    <w:p w14:paraId="160B4C2F" w14:textId="77777777" w:rsidR="00C67288" w:rsidRPr="000E0C14" w:rsidRDefault="00C67288" w:rsidP="00C67288">
      <w:pPr>
        <w:pStyle w:val="Default"/>
        <w:rPr>
          <w:rFonts w:asciiTheme="majorHAnsi" w:hAnsiTheme="majorHAnsi"/>
          <w:sz w:val="22"/>
          <w:szCs w:val="22"/>
        </w:rPr>
      </w:pPr>
      <w:r w:rsidRPr="000E0C14">
        <w:rPr>
          <w:rFonts w:asciiTheme="majorHAnsi" w:hAnsiTheme="majorHAnsi"/>
          <w:sz w:val="22"/>
          <w:szCs w:val="22"/>
        </w:rPr>
        <w:t>13.Dostawca zobowiązuje się w terminie do 14 dni dostarczyć Zamawiającemu cyfrowy obraz danego preparatu cytologicznego bez wady lub innego ekwiwalentnego cyfrowego obrazu preparatu, na który zgodzi się Zamawiający.</w:t>
      </w:r>
    </w:p>
    <w:p w14:paraId="27663FEE" w14:textId="70AA0666" w:rsidR="00C67288" w:rsidRPr="000E0C14" w:rsidRDefault="00C67288" w:rsidP="00C67288">
      <w:pPr>
        <w:pStyle w:val="Default"/>
        <w:rPr>
          <w:rFonts w:asciiTheme="majorHAnsi" w:hAnsiTheme="majorHAnsi"/>
          <w:sz w:val="22"/>
          <w:szCs w:val="22"/>
        </w:rPr>
      </w:pPr>
      <w:r w:rsidRPr="000E0C14">
        <w:rPr>
          <w:rFonts w:asciiTheme="majorHAnsi" w:hAnsiTheme="majorHAnsi"/>
          <w:sz w:val="22"/>
          <w:szCs w:val="22"/>
        </w:rPr>
        <w:t>14. Gwarancją objęte są wszystkie cyfrowe obrazy preparatów histopatologicznych, które zostały dostarczone przez Dostawcę Zamawiającemu jako dostawa bazy danych cyfrowych obrazów zeskanowanych preparatów cytologicznych na podstawie niniejszej Umowy. </w:t>
      </w:r>
    </w:p>
    <w:p w14:paraId="55EFFE3A" w14:textId="77777777" w:rsidR="00C67288" w:rsidRPr="000E0C14" w:rsidRDefault="00C67288" w:rsidP="007C01BD">
      <w:pPr>
        <w:pStyle w:val="Default"/>
        <w:rPr>
          <w:rFonts w:asciiTheme="majorHAnsi" w:hAnsiTheme="majorHAnsi"/>
          <w:sz w:val="22"/>
          <w:szCs w:val="22"/>
        </w:rPr>
      </w:pPr>
    </w:p>
    <w:p w14:paraId="5C36F6AF" w14:textId="77777777" w:rsidR="007C01BD" w:rsidRPr="000E0C14" w:rsidRDefault="007C01BD" w:rsidP="007C01BD">
      <w:pPr>
        <w:pStyle w:val="Default"/>
        <w:rPr>
          <w:rFonts w:asciiTheme="majorHAnsi" w:hAnsiTheme="majorHAnsi"/>
          <w:sz w:val="22"/>
          <w:szCs w:val="22"/>
        </w:rPr>
      </w:pPr>
    </w:p>
    <w:p w14:paraId="43A28113" w14:textId="77777777" w:rsidR="007C01BD" w:rsidRPr="000E0C14" w:rsidRDefault="007C01BD" w:rsidP="007C01BD">
      <w:pPr>
        <w:pStyle w:val="Default"/>
        <w:rPr>
          <w:rFonts w:asciiTheme="majorHAnsi" w:hAnsiTheme="majorHAnsi"/>
          <w:sz w:val="22"/>
          <w:szCs w:val="22"/>
        </w:rPr>
      </w:pPr>
    </w:p>
    <w:p w14:paraId="4C3E8626" w14:textId="3414CC70"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XIV. Lista wymaganych dokumentów/oświadczeń </w:t>
      </w:r>
    </w:p>
    <w:p w14:paraId="15AD4E40" w14:textId="77777777" w:rsidR="007C01BD" w:rsidRPr="000E0C14" w:rsidRDefault="007C01BD" w:rsidP="007C01BD">
      <w:pPr>
        <w:pStyle w:val="Default"/>
        <w:rPr>
          <w:rFonts w:asciiTheme="majorHAnsi" w:hAnsiTheme="majorHAnsi"/>
          <w:sz w:val="22"/>
          <w:szCs w:val="22"/>
        </w:rPr>
      </w:pPr>
    </w:p>
    <w:p w14:paraId="349FBD0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Oferta powinna zawierać: </w:t>
      </w:r>
    </w:p>
    <w:p w14:paraId="6F24605B" w14:textId="77777777" w:rsidR="007C01BD" w:rsidRPr="000E0C14" w:rsidRDefault="007C01BD" w:rsidP="007C01BD">
      <w:pPr>
        <w:pStyle w:val="Default"/>
        <w:rPr>
          <w:rFonts w:asciiTheme="majorHAnsi" w:hAnsiTheme="majorHAnsi"/>
          <w:sz w:val="22"/>
          <w:szCs w:val="22"/>
        </w:rPr>
      </w:pPr>
    </w:p>
    <w:p w14:paraId="61916B9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 Wypełniony i podpisany formularz oferty oraz oświadczenie o spełnieniu warunków udziału w postępowaniu - Załącznik nr 1 </w:t>
      </w:r>
    </w:p>
    <w:p w14:paraId="22D91BF5" w14:textId="77777777" w:rsidR="007C01BD" w:rsidRPr="000E0C14" w:rsidRDefault="007C01BD" w:rsidP="007C01BD">
      <w:pPr>
        <w:pStyle w:val="Default"/>
        <w:rPr>
          <w:rFonts w:asciiTheme="majorHAnsi" w:hAnsiTheme="majorHAnsi"/>
          <w:sz w:val="22"/>
          <w:szCs w:val="22"/>
        </w:rPr>
      </w:pPr>
    </w:p>
    <w:p w14:paraId="7E123DE6" w14:textId="1F57307B"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Oświadczenie oferenta o braku powiązań kapitałowych</w:t>
      </w:r>
      <w:r w:rsidR="00FB7D0F">
        <w:rPr>
          <w:rFonts w:asciiTheme="majorHAnsi" w:hAnsiTheme="majorHAnsi"/>
          <w:sz w:val="22"/>
          <w:szCs w:val="22"/>
        </w:rPr>
        <w:t xml:space="preserve"> lub osobowych z zamawiającym -</w:t>
      </w:r>
      <w:r w:rsidRPr="000E0C14">
        <w:rPr>
          <w:rFonts w:asciiTheme="majorHAnsi" w:hAnsiTheme="majorHAnsi"/>
          <w:sz w:val="22"/>
          <w:szCs w:val="22"/>
        </w:rPr>
        <w:t xml:space="preserve">Załącznik nr 2 </w:t>
      </w:r>
    </w:p>
    <w:p w14:paraId="5F1689F7" w14:textId="03DEF6FA" w:rsidR="00FB7D0F" w:rsidRDefault="00FB7D0F" w:rsidP="00FB7D0F">
      <w:pPr>
        <w:pStyle w:val="Default"/>
        <w:rPr>
          <w:rFonts w:asciiTheme="majorHAnsi" w:hAnsiTheme="majorHAnsi"/>
          <w:sz w:val="22"/>
          <w:szCs w:val="22"/>
        </w:rPr>
      </w:pPr>
    </w:p>
    <w:p w14:paraId="2819ADD6" w14:textId="6EEB9FB8" w:rsidR="00FB7D0F" w:rsidRPr="000E0C14" w:rsidRDefault="00FB7D0F" w:rsidP="00FB7D0F">
      <w:pPr>
        <w:pStyle w:val="Default"/>
        <w:rPr>
          <w:rFonts w:asciiTheme="majorHAnsi" w:hAnsiTheme="majorHAnsi"/>
          <w:sz w:val="22"/>
          <w:szCs w:val="22"/>
        </w:rPr>
      </w:pPr>
      <w:r>
        <w:rPr>
          <w:rFonts w:asciiTheme="majorHAnsi" w:hAnsiTheme="majorHAnsi"/>
          <w:sz w:val="22"/>
          <w:szCs w:val="22"/>
        </w:rPr>
        <w:t xml:space="preserve">- </w:t>
      </w:r>
      <w:r w:rsidRPr="000E0C14">
        <w:rPr>
          <w:rFonts w:asciiTheme="majorHAnsi" w:hAnsiTheme="majorHAnsi"/>
          <w:sz w:val="22"/>
          <w:szCs w:val="22"/>
        </w:rPr>
        <w:t xml:space="preserve">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r>
        <w:rPr>
          <w:rFonts w:asciiTheme="majorHAnsi" w:hAnsiTheme="majorHAnsi"/>
          <w:sz w:val="22"/>
          <w:szCs w:val="22"/>
        </w:rPr>
        <w:t xml:space="preserve"> </w:t>
      </w:r>
      <w:r>
        <w:rPr>
          <w:rFonts w:asciiTheme="majorHAnsi" w:hAnsiTheme="majorHAnsi"/>
          <w:sz w:val="22"/>
          <w:szCs w:val="22"/>
        </w:rPr>
        <w:t xml:space="preserve">- </w:t>
      </w: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w:t>
      </w:r>
    </w:p>
    <w:p w14:paraId="7C2EB152" w14:textId="77777777" w:rsidR="00FB7D0F" w:rsidRPr="000E0C14" w:rsidRDefault="00FB7D0F" w:rsidP="00FB7D0F">
      <w:pPr>
        <w:pStyle w:val="Default"/>
        <w:rPr>
          <w:rFonts w:asciiTheme="majorHAnsi" w:hAnsiTheme="majorHAnsi"/>
          <w:sz w:val="22"/>
          <w:szCs w:val="22"/>
        </w:rPr>
      </w:pPr>
    </w:p>
    <w:p w14:paraId="0CEF81A3" w14:textId="1CDD8DBA" w:rsidR="006318C8" w:rsidRPr="00FB7D0F" w:rsidRDefault="006318C8" w:rsidP="00FB7D0F">
      <w:pPr>
        <w:pStyle w:val="Default"/>
        <w:rPr>
          <w:rFonts w:asciiTheme="majorHAnsi" w:hAnsiTheme="majorHAnsi"/>
          <w:sz w:val="22"/>
          <w:szCs w:val="22"/>
        </w:rPr>
      </w:pPr>
    </w:p>
    <w:sectPr w:rsidR="006318C8" w:rsidRPr="00FB7D0F" w:rsidSect="000E0C14">
      <w:headerReference w:type="even" r:id="rId8"/>
      <w:headerReference w:type="default" r:id="rId9"/>
      <w:footerReference w:type="even" r:id="rId10"/>
      <w:footerReference w:type="default" r:id="rId11"/>
      <w:headerReference w:type="first" r:id="rId12"/>
      <w:footerReference w:type="first" r:id="rId13"/>
      <w:pgSz w:w="11899" w:h="16841"/>
      <w:pgMar w:top="1315" w:right="1404" w:bottom="1647" w:left="1402" w:header="413" w:footer="4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8D38B" w14:textId="77777777" w:rsidR="009224E8" w:rsidRDefault="009224E8">
      <w:pPr>
        <w:spacing w:after="0" w:line="240" w:lineRule="auto"/>
      </w:pPr>
      <w:r>
        <w:separator/>
      </w:r>
    </w:p>
  </w:endnote>
  <w:endnote w:type="continuationSeparator" w:id="0">
    <w:p w14:paraId="7889AFB8" w14:textId="77777777" w:rsidR="009224E8" w:rsidRDefault="0092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49B7"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sz w:val="1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4130"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sidR="007176F5" w:rsidRPr="007176F5">
      <w:rPr>
        <w:noProof/>
        <w:sz w:val="16"/>
      </w:rPr>
      <w:t>2</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7176F5">
      <w:rPr>
        <w:noProof/>
        <w:sz w:val="16"/>
      </w:rPr>
      <w:t>6</w:t>
    </w:r>
    <w:r>
      <w:rPr>
        <w:sz w:val="16"/>
      </w:rPr>
      <w:fldChar w:fldCharType="end"/>
    </w:r>
    <w:r>
      <w:rPr>
        <w:sz w:val="16"/>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4E36"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F1EA" w14:textId="77777777" w:rsidR="009224E8" w:rsidRDefault="009224E8">
      <w:pPr>
        <w:spacing w:after="0" w:line="240" w:lineRule="auto"/>
      </w:pPr>
      <w:r>
        <w:separator/>
      </w:r>
    </w:p>
  </w:footnote>
  <w:footnote w:type="continuationSeparator" w:id="0">
    <w:p w14:paraId="7A31BF06" w14:textId="77777777" w:rsidR="009224E8" w:rsidRDefault="00922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C10E" w14:textId="77777777" w:rsidR="006318C8" w:rsidRDefault="009224E8">
    <w:pPr>
      <w:spacing w:after="599" w:line="259" w:lineRule="auto"/>
      <w:ind w:left="0" w:right="423" w:firstLine="0"/>
      <w:jc w:val="center"/>
    </w:pPr>
    <w:r>
      <w:t xml:space="preserve">  </w:t>
    </w:r>
  </w:p>
  <w:p w14:paraId="6BEE432C" w14:textId="77777777" w:rsidR="006318C8" w:rsidRDefault="009224E8">
    <w:pPr>
      <w:spacing w:after="28" w:line="259" w:lineRule="auto"/>
      <w:ind w:left="1091" w:right="0" w:firstLine="0"/>
      <w:jc w:val="left"/>
    </w:pPr>
    <w:r>
      <w:rPr>
        <w:noProof/>
      </w:rPr>
      <w:drawing>
        <wp:anchor distT="0" distB="0" distL="114300" distR="114300" simplePos="0" relativeHeight="251658240" behindDoc="0" locked="0" layoutInCell="1" allowOverlap="0" wp14:anchorId="7C05C0E8" wp14:editId="03C6817E">
          <wp:simplePos x="0" y="0"/>
          <wp:positionH relativeFrom="page">
            <wp:posOffset>1583055</wp:posOffset>
          </wp:positionH>
          <wp:positionV relativeFrom="page">
            <wp:posOffset>447675</wp:posOffset>
          </wp:positionV>
          <wp:extent cx="1447800" cy="482600"/>
          <wp:effectExtent l="0" t="0" r="0" b="0"/>
          <wp:wrapSquare wrapText="bothSides"/>
          <wp:docPr id="2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59264" behindDoc="0" locked="0" layoutInCell="1" allowOverlap="0" wp14:anchorId="71625FF7" wp14:editId="6608727A">
          <wp:simplePos x="0" y="0"/>
          <wp:positionH relativeFrom="page">
            <wp:posOffset>4280535</wp:posOffset>
          </wp:positionH>
          <wp:positionV relativeFrom="page">
            <wp:posOffset>466724</wp:posOffset>
          </wp:positionV>
          <wp:extent cx="1318514" cy="462915"/>
          <wp:effectExtent l="0" t="0" r="0" b="0"/>
          <wp:wrapSquare wrapText="bothSides"/>
          <wp:docPr id="2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2E93F063" w14:textId="77777777" w:rsidR="006318C8" w:rsidRDefault="009224E8">
    <w:pPr>
      <w:spacing w:after="0" w:line="259" w:lineRule="auto"/>
      <w:ind w:left="0" w:right="485" w:firstLine="0"/>
      <w:jc w:val="center"/>
    </w:pPr>
    <w:r>
      <w:rPr>
        <w:sz w:val="16"/>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D4D2" w14:textId="1975A4B9" w:rsidR="006318C8" w:rsidRDefault="000E0C14" w:rsidP="000E0C14">
    <w:pPr>
      <w:spacing w:after="599" w:line="259" w:lineRule="auto"/>
      <w:ind w:left="0" w:right="423" w:firstLine="0"/>
      <w:jc w:val="center"/>
    </w:pPr>
    <w:r>
      <w:rPr>
        <w:noProof/>
      </w:rPr>
      <w:drawing>
        <wp:inline distT="0" distB="0" distL="0" distR="0" wp14:anchorId="1007A265" wp14:editId="0FEDAC6D">
          <wp:extent cx="5762625" cy="533400"/>
          <wp:effectExtent l="0" t="0" r="9525" b="0"/>
          <wp:docPr id="23" name="Obraz 23" descr="D:\+ ALC\EDYTORSKIE\p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LC\EDYTORSKIE\pg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r w:rsidR="009224E8">
      <w:t xml:space="preserve">  </w:t>
    </w:r>
    <w:r w:rsidR="009224E8">
      <w:rPr>
        <w:sz w:val="16"/>
      </w:rPr>
      <w:t xml:space="preserve"> </w:t>
    </w:r>
    <w:r w:rsidR="009224E8">
      <w:rPr>
        <w:sz w:val="16"/>
      </w:rPr>
      <w:tab/>
      <w:t xml:space="preserve">  </w:t>
    </w:r>
    <w:r w:rsidR="009224E8">
      <w:rPr>
        <w:sz w:val="16"/>
      </w:rPr>
      <w:tab/>
      <w:t xml:space="preserve"> </w:t>
    </w:r>
    <w:r w:rsidR="009224E8">
      <w:rPr>
        <w:sz w:val="16"/>
      </w:rPr>
      <w:tab/>
    </w:r>
    <w:r w:rsidR="009224E8">
      <w:rPr>
        <w:sz w:val="16"/>
      </w:rPr>
      <w:tab/>
      <w:t xml:space="preserve"> </w:t>
    </w:r>
    <w:r w:rsidR="009224E8">
      <w:rPr>
        <w:sz w:val="16"/>
      </w:rPr>
      <w:tab/>
      <w:t xml:space="preserve"> </w:t>
    </w:r>
    <w:r w:rsidR="009224E8">
      <w:t xml:space="preserve"> </w:t>
    </w:r>
  </w:p>
  <w:p w14:paraId="17B66ABC" w14:textId="77777777" w:rsidR="006318C8" w:rsidRDefault="009224E8">
    <w:pPr>
      <w:spacing w:after="0" w:line="259" w:lineRule="auto"/>
      <w:ind w:left="0" w:right="485" w:firstLine="0"/>
      <w:jc w:val="center"/>
    </w:pPr>
    <w:r>
      <w:rPr>
        <w:sz w:val="16"/>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15D5" w14:textId="77777777" w:rsidR="006318C8" w:rsidRDefault="009224E8">
    <w:pPr>
      <w:spacing w:after="599" w:line="259" w:lineRule="auto"/>
      <w:ind w:left="0" w:right="423" w:firstLine="0"/>
      <w:jc w:val="center"/>
    </w:pPr>
    <w:r>
      <w:t xml:space="preserve">  </w:t>
    </w:r>
  </w:p>
  <w:p w14:paraId="0F1C7F2C" w14:textId="77777777" w:rsidR="006318C8" w:rsidRDefault="009224E8">
    <w:pPr>
      <w:spacing w:after="28" w:line="259" w:lineRule="auto"/>
      <w:ind w:left="1091" w:right="0" w:firstLine="0"/>
      <w:jc w:val="left"/>
    </w:pPr>
    <w:r>
      <w:rPr>
        <w:noProof/>
      </w:rPr>
      <w:drawing>
        <wp:anchor distT="0" distB="0" distL="114300" distR="114300" simplePos="0" relativeHeight="251662336" behindDoc="0" locked="0" layoutInCell="1" allowOverlap="0" wp14:anchorId="308E6D33" wp14:editId="63000B87">
          <wp:simplePos x="0" y="0"/>
          <wp:positionH relativeFrom="page">
            <wp:posOffset>1583055</wp:posOffset>
          </wp:positionH>
          <wp:positionV relativeFrom="page">
            <wp:posOffset>447675</wp:posOffset>
          </wp:positionV>
          <wp:extent cx="1447800" cy="482600"/>
          <wp:effectExtent l="0" t="0" r="0" b="0"/>
          <wp:wrapSquare wrapText="bothSides"/>
          <wp:docPr id="2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63360" behindDoc="0" locked="0" layoutInCell="1" allowOverlap="0" wp14:anchorId="13C71742" wp14:editId="57D3F0F4">
          <wp:simplePos x="0" y="0"/>
          <wp:positionH relativeFrom="page">
            <wp:posOffset>4280535</wp:posOffset>
          </wp:positionH>
          <wp:positionV relativeFrom="page">
            <wp:posOffset>466724</wp:posOffset>
          </wp:positionV>
          <wp:extent cx="1318514" cy="462915"/>
          <wp:effectExtent l="0" t="0" r="0" b="0"/>
          <wp:wrapSquare wrapText="bothSides"/>
          <wp:docPr id="27"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534778F3" w14:textId="77777777" w:rsidR="006318C8" w:rsidRDefault="009224E8">
    <w:pPr>
      <w:spacing w:after="0" w:line="259" w:lineRule="auto"/>
      <w:ind w:left="0" w:right="485" w:firstLine="0"/>
      <w:jc w:val="center"/>
    </w:pPr>
    <w:r>
      <w:rPr>
        <w:sz w:val="16"/>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ABE"/>
    <w:multiLevelType w:val="hybridMultilevel"/>
    <w:tmpl w:val="9BC09160"/>
    <w:lvl w:ilvl="0" w:tplc="9C68EAE6">
      <w:start w:val="6"/>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D0DD6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1BEE71E">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6862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0A7350">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242EFA">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802C6B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7A857A">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4A63BE">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C4475"/>
    <w:multiLevelType w:val="hybridMultilevel"/>
    <w:tmpl w:val="DD7A2F00"/>
    <w:lvl w:ilvl="0" w:tplc="8C44A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AC67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0F54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78441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272A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28E3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421C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47DD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E08A1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8C4897"/>
    <w:multiLevelType w:val="hybridMultilevel"/>
    <w:tmpl w:val="2856EB1C"/>
    <w:lvl w:ilvl="0" w:tplc="4FEC8570">
      <w:start w:val="9"/>
      <w:numFmt w:val="decimal"/>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B31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44EE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CFE5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76B1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0EFCD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A113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2B23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AA9B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207971"/>
    <w:multiLevelType w:val="hybridMultilevel"/>
    <w:tmpl w:val="8272C8C8"/>
    <w:styleLink w:val="Zaimportowanystyl17"/>
    <w:lvl w:ilvl="0" w:tplc="14520992">
      <w:start w:val="1"/>
      <w:numFmt w:val="decimal"/>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3E5988">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42E90">
      <w:start w:val="1"/>
      <w:numFmt w:val="decimal"/>
      <w:lvlText w:val="%3)"/>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8C75E">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1C48BE">
      <w:start w:val="1"/>
      <w:numFmt w:val="decimal"/>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32B4B6">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304CE2">
      <w:start w:val="1"/>
      <w:numFmt w:val="decimal"/>
      <w:lvlText w:val="%7)"/>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7E610C">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505876">
      <w:start w:val="1"/>
      <w:numFmt w:val="decimal"/>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350388"/>
    <w:multiLevelType w:val="hybridMultilevel"/>
    <w:tmpl w:val="2988CCA2"/>
    <w:lvl w:ilvl="0" w:tplc="1D6E8D82">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B8C24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6ADE36">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5B2132A">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E262DA">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242561C">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5B40E1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9449B8">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376681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5934E1"/>
    <w:multiLevelType w:val="hybridMultilevel"/>
    <w:tmpl w:val="D7125CAE"/>
    <w:lvl w:ilvl="0" w:tplc="F80ED5E4">
      <w:start w:val="9"/>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64E7F8">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0C5C90">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F7AE87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1EF944">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683192">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2A260A">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242D32">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0EC64F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901E2B"/>
    <w:multiLevelType w:val="hybridMultilevel"/>
    <w:tmpl w:val="8272C8C8"/>
    <w:numStyleLink w:val="Zaimportowanystyl17"/>
  </w:abstractNum>
  <w:abstractNum w:abstractNumId="7" w15:restartNumberingAfterBreak="0">
    <w:nsid w:val="63D374DC"/>
    <w:multiLevelType w:val="hybridMultilevel"/>
    <w:tmpl w:val="F176DA88"/>
    <w:lvl w:ilvl="0" w:tplc="0B2879D4">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00E4C">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AE8C08">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7E5E0E">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AE87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4ED874">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06338">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6BA2C">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3267E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ED2E76"/>
    <w:multiLevelType w:val="hybridMultilevel"/>
    <w:tmpl w:val="1ED89388"/>
    <w:lvl w:ilvl="0" w:tplc="510C8878">
      <w:start w:val="1"/>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A8C60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AECF4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43C6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001E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4B876">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CA0D30">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2ADA8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1A757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DF6745"/>
    <w:multiLevelType w:val="hybridMultilevel"/>
    <w:tmpl w:val="2410C17A"/>
    <w:lvl w:ilvl="0" w:tplc="DF5203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6C75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62B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608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64E02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1CB3B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061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E5FA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A0A9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1"/>
  </w:num>
  <w:num w:numId="5">
    <w:abstractNumId w:val="8"/>
  </w:num>
  <w:num w:numId="6">
    <w:abstractNumId w:val="7"/>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C8"/>
    <w:rsid w:val="000E0C14"/>
    <w:rsid w:val="002A307A"/>
    <w:rsid w:val="00415225"/>
    <w:rsid w:val="005176EB"/>
    <w:rsid w:val="005866D6"/>
    <w:rsid w:val="005A5773"/>
    <w:rsid w:val="006318C8"/>
    <w:rsid w:val="006D7188"/>
    <w:rsid w:val="006F3CD8"/>
    <w:rsid w:val="00714E74"/>
    <w:rsid w:val="007176F5"/>
    <w:rsid w:val="007C01BD"/>
    <w:rsid w:val="009224E8"/>
    <w:rsid w:val="00995ADD"/>
    <w:rsid w:val="00AC0F83"/>
    <w:rsid w:val="00AD2343"/>
    <w:rsid w:val="00B43AF5"/>
    <w:rsid w:val="00C67288"/>
    <w:rsid w:val="00CE214B"/>
    <w:rsid w:val="00D05DAE"/>
    <w:rsid w:val="00DB4D1E"/>
    <w:rsid w:val="00F657CC"/>
    <w:rsid w:val="00FB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94823"/>
  <w15:docId w15:val="{4C7560EF-4456-428C-AAA8-8A21D790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71" w:lineRule="auto"/>
      <w:ind w:left="10" w:right="9"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1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A">
    <w:name w:val="Domyślne A"/>
    <w:rsid w:val="00C6728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BrakA">
    <w:name w:val="Brak A"/>
    <w:rsid w:val="00C67288"/>
  </w:style>
  <w:style w:type="numbering" w:customStyle="1" w:styleId="Zaimportowanystyl17">
    <w:name w:val="Zaimportowany styl 17"/>
    <w:rsid w:val="00C67288"/>
    <w:pPr>
      <w:numPr>
        <w:numId w:val="9"/>
      </w:numPr>
    </w:pPr>
  </w:style>
  <w:style w:type="character" w:styleId="Hipercze">
    <w:name w:val="Hyperlink"/>
    <w:basedOn w:val="Domylnaczcionkaakapitu"/>
    <w:uiPriority w:val="99"/>
    <w:unhideWhenUsed/>
    <w:rsid w:val="00AD2343"/>
    <w:rPr>
      <w:color w:val="0563C1" w:themeColor="hyperlink"/>
      <w:u w:val="single"/>
    </w:rPr>
  </w:style>
  <w:style w:type="character" w:customStyle="1" w:styleId="UnresolvedMention">
    <w:name w:val="Unresolved Mention"/>
    <w:basedOn w:val="Domylnaczcionkaakapitu"/>
    <w:uiPriority w:val="99"/>
    <w:semiHidden/>
    <w:unhideWhenUsed/>
    <w:rsid w:val="00AD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tur.ol@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12132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Kasprzak</dc:creator>
  <cp:keywords/>
  <cp:lastModifiedBy>Wojtek</cp:lastModifiedBy>
  <cp:revision>2</cp:revision>
  <dcterms:created xsi:type="dcterms:W3CDTF">2024-07-19T14:23:00Z</dcterms:created>
  <dcterms:modified xsi:type="dcterms:W3CDTF">2024-07-19T14:23:00Z</dcterms:modified>
</cp:coreProperties>
</file>